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88" w:rsidRDefault="00E86C34" w:rsidP="00562829">
      <w:pPr>
        <w:spacing w:after="0"/>
        <w:rPr>
          <w:rFonts w:ascii="Trebuchet MS" w:hAnsi="Trebuchet MS"/>
          <w:color w:val="666666"/>
          <w:sz w:val="20"/>
          <w:szCs w:val="20"/>
        </w:rPr>
      </w:pPr>
      <w:r>
        <w:rPr>
          <w:rFonts w:ascii="Trebuchet MS" w:hAnsi="Trebuchet MS"/>
          <w:color w:val="666666"/>
          <w:sz w:val="20"/>
          <w:szCs w:val="20"/>
        </w:rPr>
        <w:t xml:space="preserve">Session 2 Extra Credit </w:t>
      </w:r>
      <w:proofErr w:type="gramStart"/>
      <w:r>
        <w:rPr>
          <w:rFonts w:ascii="Trebuchet MS" w:hAnsi="Trebuchet MS"/>
          <w:color w:val="666666"/>
          <w:sz w:val="20"/>
          <w:szCs w:val="20"/>
        </w:rPr>
        <w:t>Assignment</w:t>
      </w:r>
      <w:proofErr w:type="gramEnd"/>
      <w:r>
        <w:rPr>
          <w:rFonts w:ascii="Trebuchet MS" w:hAnsi="Trebuchet MS"/>
          <w:color w:val="666666"/>
          <w:sz w:val="20"/>
          <w:szCs w:val="20"/>
        </w:rPr>
        <w:t xml:space="preserve"> – from Geneva Calloway</w:t>
      </w:r>
    </w:p>
    <w:p w:rsidR="00562829" w:rsidRPr="00562829" w:rsidRDefault="00562829">
      <w:pPr>
        <w:rPr>
          <w:rFonts w:ascii="Trebuchet MS" w:hAnsi="Trebuchet MS"/>
          <w:i/>
          <w:color w:val="666666"/>
          <w:sz w:val="20"/>
          <w:szCs w:val="20"/>
        </w:rPr>
      </w:pPr>
      <w:r>
        <w:rPr>
          <w:rFonts w:ascii="Trebuchet MS" w:hAnsi="Trebuchet MS"/>
          <w:color w:val="666666"/>
          <w:sz w:val="20"/>
          <w:szCs w:val="20"/>
        </w:rPr>
        <w:tab/>
      </w:r>
      <w:r>
        <w:rPr>
          <w:rFonts w:ascii="Trebuchet MS" w:hAnsi="Trebuchet MS"/>
          <w:color w:val="666666"/>
          <w:sz w:val="20"/>
          <w:szCs w:val="20"/>
        </w:rPr>
        <w:tab/>
      </w:r>
      <w:r w:rsidRPr="00562829">
        <w:rPr>
          <w:rFonts w:ascii="Trebuchet MS" w:hAnsi="Trebuchet MS"/>
          <w:i/>
          <w:color w:val="666666"/>
          <w:sz w:val="20"/>
          <w:szCs w:val="20"/>
        </w:rPr>
        <w:t>Select another lesson from the Space Math site and comment on the lesson with regards to process skills and integration of math and science.</w:t>
      </w:r>
    </w:p>
    <w:tbl>
      <w:tblPr>
        <w:tblW w:w="5000" w:type="pct"/>
        <w:tblCellSpacing w:w="0" w:type="dxa"/>
        <w:tblCellMar>
          <w:left w:w="0" w:type="dxa"/>
          <w:right w:w="0" w:type="dxa"/>
        </w:tblCellMar>
        <w:tblLook w:val="04A0"/>
      </w:tblPr>
      <w:tblGrid>
        <w:gridCol w:w="2739"/>
        <w:gridCol w:w="495"/>
        <w:gridCol w:w="5853"/>
        <w:gridCol w:w="171"/>
        <w:gridCol w:w="102"/>
      </w:tblGrid>
      <w:tr w:rsidR="00562829" w:rsidRPr="00562829">
        <w:trPr>
          <w:trHeight w:val="1230"/>
          <w:tblCellSpacing w:w="0" w:type="dxa"/>
        </w:trPr>
        <w:tc>
          <w:tcPr>
            <w:tcW w:w="5250" w:type="dxa"/>
            <w:hideMark/>
          </w:tcPr>
          <w:tbl>
            <w:tblPr>
              <w:tblW w:w="5000" w:type="pct"/>
              <w:tblCellSpacing w:w="0" w:type="dxa"/>
              <w:tblCellMar>
                <w:left w:w="0" w:type="dxa"/>
                <w:right w:w="0" w:type="dxa"/>
              </w:tblCellMar>
              <w:tblLook w:val="04A0"/>
            </w:tblPr>
            <w:tblGrid>
              <w:gridCol w:w="2739"/>
            </w:tblGrid>
            <w:tr w:rsidR="00562829" w:rsidRPr="00562829">
              <w:trPr>
                <w:trHeight w:val="765"/>
                <w:tblCellSpacing w:w="0" w:type="dxa"/>
              </w:trPr>
              <w:tc>
                <w:tcPr>
                  <w:tcW w:w="4950" w:type="dxa"/>
                  <w:vAlign w:val="center"/>
                  <w:hideMark/>
                </w:tcPr>
                <w:p w:rsidR="00562829" w:rsidRPr="00562829" w:rsidRDefault="00562829" w:rsidP="00562829">
                  <w:pPr>
                    <w:spacing w:after="0" w:line="240" w:lineRule="auto"/>
                    <w:jc w:val="center"/>
                    <w:rPr>
                      <w:rFonts w:ascii="Times New Roman" w:eastAsia="Times New Roman" w:hAnsi="Times New Roman" w:cs="Times New Roman"/>
                      <w:color w:val="333333"/>
                      <w:sz w:val="24"/>
                      <w:szCs w:val="24"/>
                    </w:rPr>
                  </w:pPr>
                  <w:r w:rsidRPr="00562829">
                    <w:rPr>
                      <w:rFonts w:ascii="Arial" w:eastAsia="Times New Roman" w:hAnsi="Arial" w:cs="Arial"/>
                      <w:b/>
                      <w:bCs/>
                      <w:color w:val="333333"/>
                      <w:sz w:val="24"/>
                      <w:szCs w:val="48"/>
                    </w:rPr>
                    <w:t>Module 3</w:t>
                  </w:r>
                </w:p>
              </w:tc>
            </w:tr>
            <w:tr w:rsidR="00562829" w:rsidRPr="00562829">
              <w:trPr>
                <w:trHeight w:val="465"/>
                <w:tblCellSpacing w:w="0" w:type="dxa"/>
              </w:trPr>
              <w:tc>
                <w:tcPr>
                  <w:tcW w:w="0" w:type="auto"/>
                  <w:hideMark/>
                </w:tcPr>
                <w:tbl>
                  <w:tblPr>
                    <w:tblW w:w="5000" w:type="pct"/>
                    <w:tblCellSpacing w:w="0" w:type="dxa"/>
                    <w:tblCellMar>
                      <w:left w:w="0" w:type="dxa"/>
                      <w:right w:w="0" w:type="dxa"/>
                    </w:tblCellMar>
                    <w:tblLook w:val="04A0"/>
                  </w:tblPr>
                  <w:tblGrid>
                    <w:gridCol w:w="2739"/>
                  </w:tblGrid>
                  <w:tr w:rsidR="00562829" w:rsidRPr="00562829">
                    <w:trPr>
                      <w:trHeight w:val="465"/>
                      <w:tblCellSpacing w:w="0" w:type="dxa"/>
                    </w:trPr>
                    <w:tc>
                      <w:tcPr>
                        <w:tcW w:w="5250" w:type="dxa"/>
                        <w:vAlign w:val="center"/>
                        <w:hideMark/>
                      </w:tcPr>
                      <w:p w:rsidR="00562829" w:rsidRPr="00562829" w:rsidRDefault="00562829" w:rsidP="00562829">
                        <w:pPr>
                          <w:spacing w:after="0" w:line="240" w:lineRule="auto"/>
                          <w:jc w:val="center"/>
                          <w:rPr>
                            <w:rFonts w:ascii="Times New Roman" w:eastAsia="Times New Roman" w:hAnsi="Times New Roman" w:cs="Times New Roman"/>
                            <w:color w:val="333333"/>
                            <w:sz w:val="24"/>
                            <w:szCs w:val="24"/>
                          </w:rPr>
                        </w:pPr>
                        <w:r w:rsidRPr="00562829">
                          <w:rPr>
                            <w:rFonts w:ascii="Arial" w:eastAsia="Times New Roman" w:hAnsi="Arial" w:cs="Arial"/>
                            <w:b/>
                            <w:bCs/>
                            <w:color w:val="333333"/>
                            <w:sz w:val="24"/>
                            <w:szCs w:val="36"/>
                          </w:rPr>
                          <w:t>Solving Simple Equations</w:t>
                        </w:r>
                      </w:p>
                    </w:tc>
                  </w:tr>
                </w:tbl>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r>
          </w:tbl>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c>
          <w:tcPr>
            <w:tcW w:w="1275" w:type="dxa"/>
            <w:vAlign w:val="center"/>
            <w:hideMark/>
          </w:tcPr>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c>
          <w:tcPr>
            <w:tcW w:w="11385" w:type="dxa"/>
            <w:hideMark/>
          </w:tcPr>
          <w:p w:rsidR="00562829" w:rsidRPr="00562829" w:rsidRDefault="00562829" w:rsidP="00562829">
            <w:pPr>
              <w:spacing w:after="0" w:line="240" w:lineRule="auto"/>
              <w:jc w:val="center"/>
              <w:rPr>
                <w:rFonts w:ascii="Times New Roman" w:eastAsia="Times New Roman" w:hAnsi="Times New Roman" w:cs="Times New Roman"/>
                <w:color w:val="333333"/>
                <w:sz w:val="24"/>
                <w:szCs w:val="24"/>
              </w:rPr>
            </w:pPr>
            <w:r w:rsidRPr="00562829">
              <w:rPr>
                <w:rFonts w:ascii="Times New Roman" w:eastAsia="Times New Roman" w:hAnsi="Times New Roman" w:cs="Times New Roman"/>
                <w:color w:val="333333"/>
                <w:sz w:val="24"/>
                <w:szCs w:val="24"/>
              </w:rPr>
              <w:br/>
            </w:r>
            <w:r w:rsidRPr="00562829">
              <w:rPr>
                <w:rFonts w:ascii="Arial" w:eastAsia="Times New Roman" w:hAnsi="Arial" w:cs="Arial"/>
                <w:b/>
                <w:bCs/>
                <w:color w:val="333333"/>
                <w:sz w:val="36"/>
                <w:szCs w:val="36"/>
              </w:rPr>
              <w:t xml:space="preserve">Converting from Fahrenheit to Kelvin Temperatures </w:t>
            </w:r>
          </w:p>
        </w:tc>
        <w:tc>
          <w:tcPr>
            <w:tcW w:w="435" w:type="dxa"/>
            <w:vAlign w:val="center"/>
            <w:hideMark/>
          </w:tcPr>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c>
          <w:tcPr>
            <w:tcW w:w="255" w:type="dxa"/>
            <w:vAlign w:val="center"/>
            <w:hideMark/>
          </w:tcPr>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r>
      <w:tr w:rsidR="00562829" w:rsidRPr="00562829">
        <w:trPr>
          <w:trHeight w:val="1275"/>
          <w:tblCellSpacing w:w="0" w:type="dxa"/>
        </w:trPr>
        <w:tc>
          <w:tcPr>
            <w:tcW w:w="0" w:type="auto"/>
            <w:gridSpan w:val="4"/>
            <w:hideMark/>
          </w:tcPr>
          <w:tbl>
            <w:tblPr>
              <w:tblW w:w="5000" w:type="pct"/>
              <w:tblCellSpacing w:w="0" w:type="dxa"/>
              <w:tblCellMar>
                <w:left w:w="0" w:type="dxa"/>
                <w:right w:w="0" w:type="dxa"/>
              </w:tblCellMar>
              <w:tblLook w:val="04A0"/>
            </w:tblPr>
            <w:tblGrid>
              <w:gridCol w:w="9258"/>
            </w:tblGrid>
            <w:tr w:rsidR="00562829" w:rsidRPr="00562829">
              <w:trPr>
                <w:trHeight w:val="1020"/>
                <w:tblCellSpacing w:w="0" w:type="dxa"/>
              </w:trPr>
              <w:tc>
                <w:tcPr>
                  <w:tcW w:w="17670" w:type="dxa"/>
                  <w:hideMark/>
                </w:tcPr>
                <w:tbl>
                  <w:tblPr>
                    <w:tblW w:w="5000" w:type="pct"/>
                    <w:tblCellSpacing w:w="0" w:type="dxa"/>
                    <w:tblCellMar>
                      <w:left w:w="0" w:type="dxa"/>
                      <w:right w:w="0" w:type="dxa"/>
                    </w:tblCellMar>
                    <w:tblLook w:val="04A0"/>
                  </w:tblPr>
                  <w:tblGrid>
                    <w:gridCol w:w="9258"/>
                  </w:tblGrid>
                  <w:tr w:rsidR="00562829" w:rsidRPr="00562829">
                    <w:trPr>
                      <w:trHeight w:val="1275"/>
                      <w:tblCellSpacing w:w="0" w:type="dxa"/>
                    </w:trPr>
                    <w:tc>
                      <w:tcPr>
                        <w:tcW w:w="17805" w:type="dxa"/>
                        <w:hideMark/>
                      </w:tcPr>
                      <w:tbl>
                        <w:tblPr>
                          <w:tblW w:w="5000" w:type="pct"/>
                          <w:tblCellSpacing w:w="0" w:type="dxa"/>
                          <w:tblCellMar>
                            <w:left w:w="0" w:type="dxa"/>
                            <w:right w:w="0" w:type="dxa"/>
                          </w:tblCellMar>
                          <w:tblLook w:val="04A0"/>
                        </w:tblPr>
                        <w:tblGrid>
                          <w:gridCol w:w="9258"/>
                        </w:tblGrid>
                        <w:tr w:rsidR="00562829" w:rsidRPr="00562829">
                          <w:trPr>
                            <w:trHeight w:val="1350"/>
                            <w:tblCellSpacing w:w="0" w:type="dxa"/>
                          </w:trPr>
                          <w:tc>
                            <w:tcPr>
                              <w:tcW w:w="18000" w:type="dxa"/>
                              <w:hideMark/>
                            </w:tcPr>
                            <w:p w:rsidR="00562829" w:rsidRPr="00562829" w:rsidRDefault="00562829" w:rsidP="00562829">
                              <w:pPr>
                                <w:spacing w:after="0" w:line="240" w:lineRule="auto"/>
                                <w:rPr>
                                  <w:rFonts w:ascii="Times New Roman" w:eastAsia="Times New Roman" w:hAnsi="Times New Roman" w:cs="Times New Roman"/>
                                  <w:color w:val="333333"/>
                                  <w:sz w:val="24"/>
                                  <w:szCs w:val="24"/>
                                </w:rPr>
                              </w:pPr>
                              <w:r w:rsidRPr="00562829">
                                <w:rPr>
                                  <w:rFonts w:ascii="Times New Roman" w:eastAsia="Times New Roman" w:hAnsi="Times New Roman" w:cs="Times New Roman"/>
                                  <w:color w:val="333333"/>
                                  <w:sz w:val="24"/>
                                  <w:szCs w:val="24"/>
                                </w:rPr>
                                <w:br/>
                              </w:r>
                              <w:r w:rsidRPr="00562829">
                                <w:rPr>
                                  <w:rFonts w:ascii="Arial" w:eastAsia="Times New Roman" w:hAnsi="Arial" w:cs="Arial"/>
                                  <w:b/>
                                  <w:bCs/>
                                  <w:color w:val="333333"/>
                                  <w:sz w:val="24"/>
                                  <w:szCs w:val="27"/>
                                </w:rPr>
                                <w:t>Objectives:</w:t>
                              </w:r>
                              <w:r w:rsidRPr="00562829">
                                <w:rPr>
                                  <w:rFonts w:ascii="Arial" w:eastAsia="Times New Roman" w:hAnsi="Arial" w:cs="Arial"/>
                                  <w:color w:val="333333"/>
                                  <w:sz w:val="24"/>
                                  <w:szCs w:val="27"/>
                                </w:rPr>
                                <w:t xml:space="preserve"> Students will learn about the technology of cryogenics where engineers and scientists work with very cold gases and liquids. They will use a simple equation to convert from the Fahrenheit to the Celsius temperature scales and to the Kelvin scale which is used in cryogenics. They will also view a NASA </w:t>
                              </w:r>
                              <w:proofErr w:type="spellStart"/>
                              <w:r w:rsidRPr="00562829">
                                <w:rPr>
                                  <w:rFonts w:ascii="Arial" w:eastAsia="Times New Roman" w:hAnsi="Arial" w:cs="Arial"/>
                                  <w:color w:val="333333"/>
                                  <w:sz w:val="24"/>
                                  <w:szCs w:val="27"/>
                                </w:rPr>
                                <w:t>eClips</w:t>
                              </w:r>
                              <w:proofErr w:type="spellEnd"/>
                              <w:r w:rsidRPr="00562829">
                                <w:rPr>
                                  <w:rFonts w:ascii="Arial" w:eastAsia="Times New Roman" w:hAnsi="Arial" w:cs="Arial"/>
                                  <w:color w:val="333333"/>
                                  <w:sz w:val="24"/>
                                  <w:szCs w:val="27"/>
                                </w:rPr>
                                <w:t xml:space="preserve"> video and read a press release dealing with very cold gases and liquids. </w:t>
                              </w:r>
                            </w:p>
                          </w:tc>
                        </w:tr>
                      </w:tbl>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r>
                </w:tbl>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r>
          </w:tbl>
          <w:p w:rsidR="00562829" w:rsidRPr="00562829" w:rsidRDefault="00562829" w:rsidP="00562829">
            <w:pPr>
              <w:spacing w:after="0" w:line="240" w:lineRule="auto"/>
              <w:rPr>
                <w:rFonts w:ascii="Times New Roman" w:eastAsia="Times New Roman" w:hAnsi="Times New Roman" w:cs="Times New Roman"/>
                <w:color w:val="333333"/>
                <w:sz w:val="24"/>
                <w:szCs w:val="24"/>
              </w:rPr>
            </w:pPr>
          </w:p>
        </w:tc>
        <w:tc>
          <w:tcPr>
            <w:tcW w:w="0" w:type="auto"/>
            <w:vAlign w:val="center"/>
            <w:hideMark/>
          </w:tcPr>
          <w:p w:rsidR="00562829" w:rsidRPr="00562829" w:rsidRDefault="00562829" w:rsidP="00562829">
            <w:pPr>
              <w:spacing w:after="0" w:line="240" w:lineRule="auto"/>
              <w:rPr>
                <w:rFonts w:ascii="Times New Roman" w:eastAsia="Times New Roman" w:hAnsi="Times New Roman" w:cs="Times New Roman"/>
                <w:sz w:val="20"/>
                <w:szCs w:val="20"/>
              </w:rPr>
            </w:pPr>
          </w:p>
        </w:tc>
      </w:tr>
    </w:tbl>
    <w:p w:rsidR="00E86C34" w:rsidRDefault="00E86C34"/>
    <w:p w:rsidR="00562829" w:rsidRDefault="00DC23F7">
      <w:r>
        <w:t>My Comments from the lesson are as follows:</w:t>
      </w:r>
    </w:p>
    <w:p w:rsidR="00562829" w:rsidRDefault="00562829" w:rsidP="00DC23F7">
      <w:pPr>
        <w:ind w:firstLine="720"/>
      </w:pPr>
      <w:r>
        <w:t xml:space="preserve">The process skills involved in this lesson are numerous, which I think is a great benefit from integrating lessons. These skills include </w:t>
      </w:r>
      <w:r w:rsidR="00AD6C9E">
        <w:t xml:space="preserve">Science: interactions of matter; engineering design; and links among topics – engineering, technology, sciences and society. </w:t>
      </w:r>
      <w:r>
        <w:t>English Language Arts skills: determining central ideas and conclusions of text, providing accurate summary of text; distinguishing among facts and speculation in text; compare and contrast information gained from reading resources to information gained from the actual activities including simulations, experiments, videos or other multimedia material, of the same topic.</w:t>
      </w:r>
      <w:r w:rsidR="00AD6C9E">
        <w:t xml:space="preserve"> Mathematics skills include using variables to represent real- world or mathematical problems.</w:t>
      </w:r>
    </w:p>
    <w:p w:rsidR="00AD6C9E" w:rsidRDefault="00AD6C9E">
      <w:pPr>
        <w:rPr>
          <w:rFonts w:cs="Arial"/>
        </w:rPr>
      </w:pPr>
      <w:r w:rsidRPr="00AD6C9E">
        <w:t xml:space="preserve">In Problem I students are to convert between Celsius, Fahrenheit and Kelvin temperatures using simple linear equations. In Problem II the </w:t>
      </w:r>
      <w:r w:rsidRPr="00AD6C9E">
        <w:rPr>
          <w:rFonts w:cs="Arial"/>
        </w:rPr>
        <w:t>topics include working with Kelvin temper</w:t>
      </w:r>
      <w:r>
        <w:rPr>
          <w:rFonts w:cs="Arial"/>
        </w:rPr>
        <w:t>atures; averaging; histograms</w:t>
      </w:r>
      <w:r w:rsidRPr="00AD6C9E">
        <w:rPr>
          <w:rFonts w:cs="Arial"/>
        </w:rPr>
        <w:t>.</w:t>
      </w:r>
      <w:r>
        <w:rPr>
          <w:rFonts w:cs="Arial"/>
        </w:rPr>
        <w:t xml:space="preserve"> In this problem </w:t>
      </w:r>
      <w:r w:rsidRPr="00AD6C9E">
        <w:t xml:space="preserve">students </w:t>
      </w:r>
      <w:r w:rsidRPr="00AD6C9E">
        <w:rPr>
          <w:rFonts w:cs="Arial"/>
        </w:rPr>
        <w:t xml:space="preserve">use a table of the planets discovered by the </w:t>
      </w:r>
      <w:proofErr w:type="spellStart"/>
      <w:r w:rsidRPr="00AD6C9E">
        <w:rPr>
          <w:rFonts w:cs="Arial"/>
        </w:rPr>
        <w:t>Kepler</w:t>
      </w:r>
      <w:proofErr w:type="spellEnd"/>
      <w:r w:rsidRPr="00AD6C9E">
        <w:rPr>
          <w:rFonts w:cs="Arial"/>
        </w:rPr>
        <w:t xml:space="preserve"> satellite, and estimate the number of planets in our Milky Way galaxy that are about the same size as Earth and located in their Habitable Zones. They estimate the average temperature of the planets, and study their tabulated properties using histograms. </w:t>
      </w:r>
    </w:p>
    <w:p w:rsidR="00DC23F7" w:rsidRDefault="00DC23F7">
      <w:pPr>
        <w:rPr>
          <w:rFonts w:cs="Arial"/>
        </w:rPr>
      </w:pPr>
      <w:r>
        <w:rPr>
          <w:rFonts w:cs="Arial"/>
        </w:rPr>
        <w:tab/>
        <w:t>The integration of Mathematics and Science begins with the science process objective of Matter and its Interactions. In this front, the lesson looks at how matter is (mirrors from the video) are affected when exposed to extreme temperature variations. This also involves the Mathematics common core objective involving solving real world problems using variables because students were asked to compare Celsius, Fahrenheit and Kelvin temperatures (</w:t>
      </w:r>
      <w:r w:rsidRPr="00DC23F7">
        <w:rPr>
          <w:rFonts w:cs="Arial"/>
          <w:i/>
        </w:rPr>
        <w:t>from -379 Fahrenheit to room temperature</w:t>
      </w:r>
      <w:r>
        <w:rPr>
          <w:rFonts w:cs="Arial"/>
        </w:rPr>
        <w:t>) using linear equations. In Problem II – The Goldilocks Planets – students were using science – (real world concepts) – the Milky Way and asked to locate the number of Earth like “Habitable Zone” planets.</w:t>
      </w:r>
    </w:p>
    <w:p w:rsidR="001327B4" w:rsidRPr="00AD6C9E" w:rsidRDefault="001327B4">
      <w:r>
        <w:rPr>
          <w:rFonts w:cs="Arial"/>
        </w:rPr>
        <w:tab/>
        <w:t xml:space="preserve">This lesson will require the students to </w:t>
      </w:r>
      <w:r w:rsidR="00760CD2">
        <w:rPr>
          <w:rFonts w:cs="Arial"/>
        </w:rPr>
        <w:t>use various process skills as to</w:t>
      </w:r>
      <w:r>
        <w:rPr>
          <w:rFonts w:cs="Arial"/>
        </w:rPr>
        <w:t xml:space="preserve"> </w:t>
      </w:r>
      <w:proofErr w:type="gramStart"/>
      <w:r>
        <w:rPr>
          <w:rFonts w:cs="Arial"/>
        </w:rPr>
        <w:t>integrates</w:t>
      </w:r>
      <w:proofErr w:type="gramEnd"/>
      <w:r>
        <w:rPr>
          <w:rFonts w:cs="Arial"/>
        </w:rPr>
        <w:t xml:space="preserve"> math and science in </w:t>
      </w:r>
      <w:r w:rsidR="00760CD2">
        <w:rPr>
          <w:rFonts w:cs="Arial"/>
        </w:rPr>
        <w:t xml:space="preserve">the classroom. </w:t>
      </w:r>
      <w:proofErr w:type="gramStart"/>
      <w:r w:rsidR="00760CD2">
        <w:rPr>
          <w:rFonts w:cs="Arial"/>
        </w:rPr>
        <w:t>Great activity.</w:t>
      </w:r>
      <w:proofErr w:type="gramEnd"/>
      <w:r w:rsidR="00760CD2">
        <w:rPr>
          <w:rFonts w:cs="Arial"/>
        </w:rPr>
        <w:t xml:space="preserve"> I hope I can use it in the coming year.</w:t>
      </w:r>
    </w:p>
    <w:sectPr w:rsidR="001327B4" w:rsidRPr="00AD6C9E" w:rsidSect="00122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86C34"/>
    <w:rsid w:val="001225E0"/>
    <w:rsid w:val="001327B4"/>
    <w:rsid w:val="00562829"/>
    <w:rsid w:val="00641DBC"/>
    <w:rsid w:val="0071348E"/>
    <w:rsid w:val="00760CD2"/>
    <w:rsid w:val="00AD6C9E"/>
    <w:rsid w:val="00B531A2"/>
    <w:rsid w:val="00D013CD"/>
    <w:rsid w:val="00DC23F7"/>
    <w:rsid w:val="00E301DC"/>
    <w:rsid w:val="00E86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Geneva</dc:creator>
  <cp:lastModifiedBy>Geneva</cp:lastModifiedBy>
  <cp:revision>5</cp:revision>
  <dcterms:created xsi:type="dcterms:W3CDTF">2012-06-21T19:45:00Z</dcterms:created>
  <dcterms:modified xsi:type="dcterms:W3CDTF">2012-06-21T22:02:00Z</dcterms:modified>
</cp:coreProperties>
</file>