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b/>
          <w:bCs/>
        </w:rPr>
        <w:t>The Impact of Breast and Cervical Cancer in Rural South Carolina: A Call to Action</w:t>
      </w:r>
    </w:p>
    <w:p>
      <w:r>
        <w:t>The South Carolina Office of Rural Health ha</w:t>
      </w:r>
      <w:r>
        <w:rPr>
          <w:lang w:val="en-US"/>
        </w:rPr>
        <w:t xml:space="preserve">s </w:t>
      </w:r>
      <w:r>
        <w:t xml:space="preserve">joined forces with DHEC’s Best Chance Network and WiseWoman </w:t>
      </w:r>
      <w:r>
        <w:rPr>
          <w:lang w:val="en-US"/>
        </w:rPr>
        <w:t xml:space="preserve">programs </w:t>
      </w:r>
      <w:r>
        <w:t xml:space="preserve">to increase awareness and the number of rural health care providers offering these life-saving </w:t>
      </w:r>
      <w:r>
        <w:rPr>
          <w:lang w:val="en-US"/>
        </w:rPr>
        <w:t xml:space="preserve">screening </w:t>
      </w:r>
      <w:r>
        <w:t xml:space="preserve">services.  </w:t>
      </w:r>
    </w:p>
    <w:p>
      <w:r>
        <w:rPr>
          <w:b/>
          <w:bCs/>
        </w:rPr>
        <w:t xml:space="preserve">What is the Best Chance Network? </w:t>
      </w:r>
      <w:r>
        <w:t xml:space="preserve">Since 1991, The Best Chance Network has been South Carolina’s program for National Breast and Cervical Cancer Early Detection Program. It provides comprehensive screening and diagnostic services for low-income, uninsured and underinsured women across the state. </w:t>
      </w:r>
      <w:r>
        <w:rPr>
          <w:lang w:val="en-US"/>
        </w:rPr>
        <w:t>It is c</w:t>
      </w:r>
      <w:bookmarkStart w:id="0" w:name="_GoBack"/>
      <w:bookmarkEnd w:id="0"/>
      <w:r>
        <w:t>ommonly referred to as the “free mammogram” program in local communities.</w:t>
      </w:r>
    </w:p>
    <w:p>
      <w:r>
        <w:rPr>
          <w:b/>
          <w:bCs/>
        </w:rPr>
        <w:t xml:space="preserve">What is the Wise Woman Program? </w:t>
      </w:r>
      <w:r>
        <w:t>Since 2008, DHEC has offered The WiseWoman program, to reduce risk factors for heart disease in low-income women from 40-64 years of age. Services focus on cardiovascular disease screening, health coaching and lifestyle changes with a focus on controlling high blood pressure</w:t>
      </w:r>
    </w:p>
    <w:p>
      <w:pPr>
        <w:rPr>
          <w:b/>
          <w:bCs/>
        </w:rPr>
      </w:pPr>
      <w:r>
        <w:rPr>
          <w:b/>
          <w:bCs/>
        </w:rPr>
        <w:t>Why Should You Care?</w:t>
      </w:r>
    </w:p>
    <w:p>
      <w:pPr>
        <w:pStyle w:val="5"/>
        <w:numPr>
          <w:ilvl w:val="0"/>
          <w:numId w:val="1"/>
        </w:numPr>
      </w:pPr>
      <w:r>
        <w:t>Simple screening can detect breast cancer, cervical cancer and heart disease early and save lives.</w:t>
      </w:r>
    </w:p>
    <w:p>
      <w:pPr>
        <w:pStyle w:val="5"/>
        <w:numPr>
          <w:ilvl w:val="0"/>
          <w:numId w:val="1"/>
        </w:numPr>
      </w:pPr>
      <w:r>
        <w:t xml:space="preserve">Providing this service brings revenue to rural practices </w:t>
      </w:r>
    </w:p>
    <w:p>
      <w:pPr>
        <w:pStyle w:val="5"/>
        <w:numPr>
          <w:ilvl w:val="0"/>
          <w:numId w:val="1"/>
        </w:numPr>
      </w:pPr>
      <w:r>
        <w:t>The incidence rate of high blood pressure (a precursor to heart disease) amongst in rural communities is higher than in urban parts of the state. According DHEC, women residing in Barnwell, Lee, Marion and Lee counties have the highest rates of hypertension.</w:t>
      </w:r>
    </w:p>
    <w:p>
      <w:pPr>
        <w:pStyle w:val="5"/>
        <w:numPr>
          <w:ilvl w:val="0"/>
          <w:numId w:val="1"/>
        </w:numPr>
      </w:pPr>
      <w:r>
        <w:t>Rural counties in the Pee Dee region have the highest rates of breast and cervical cancer-related deaths in the state</w:t>
      </w:r>
    </w:p>
    <w:p>
      <w:pPr>
        <w:rPr>
          <w:b/>
        </w:rPr>
      </w:pPr>
      <w:r>
        <w:rPr>
          <w:b/>
        </w:rPr>
        <w:t>What should you do about it?</w:t>
      </w:r>
    </w:p>
    <w:p>
      <w:pPr>
        <w:pStyle w:val="5"/>
        <w:numPr>
          <w:ilvl w:val="0"/>
          <w:numId w:val="1"/>
        </w:numPr>
        <w:rPr>
          <w:rFonts w:hint="eastAsia"/>
          <w:lang w:val="en-US"/>
        </w:rPr>
      </w:pPr>
      <w:r>
        <w:rPr>
          <w:rFonts w:hint="eastAsia"/>
          <w:lang w:val="en-US"/>
        </w:rPr>
        <w:t>Designate a key member of your staff to be responsible for managing your BCN program</w:t>
      </w:r>
    </w:p>
    <w:p>
      <w:pPr>
        <w:pStyle w:val="5"/>
        <w:numPr>
          <w:ilvl w:val="0"/>
          <w:numId w:val="1"/>
        </w:numPr>
        <w:rPr>
          <w:rFonts w:hint="eastAsia"/>
          <w:lang w:val="en-US"/>
        </w:rPr>
      </w:pPr>
      <w:r>
        <w:rPr>
          <w:rFonts w:hint="default"/>
          <w:lang w:val="en-US"/>
        </w:rPr>
        <w:t>Not a  BCN or Wisewoman provider? Please call Trenessa Jones at 803-898-1613</w:t>
      </w:r>
    </w:p>
    <w:p>
      <w:pPr>
        <w:pStyle w:val="5"/>
        <w:numPr>
          <w:ilvl w:val="0"/>
          <w:numId w:val="1"/>
        </w:numPr>
        <w:rPr>
          <w:rFonts w:hint="eastAsia"/>
          <w:lang w:val="en-US"/>
        </w:rPr>
      </w:pPr>
      <w:r>
        <w:rPr>
          <w:rFonts w:hint="default"/>
          <w:lang w:val="en-US"/>
        </w:rPr>
        <w:t xml:space="preserve">If you are an existing BCN provider, </w:t>
      </w:r>
      <w:r>
        <w:rPr>
          <w:rFonts w:hint="eastAsia"/>
          <w:lang w:val="en-US"/>
        </w:rPr>
        <w:t>PA Line at (866) 297-6813 or fax your requests to (866) 297-6814</w:t>
      </w:r>
      <w:r>
        <w:rPr>
          <w:rFonts w:hint="default"/>
          <w:lang w:val="en-US"/>
        </w:rPr>
        <w:t xml:space="preserve"> to reactivate</w:t>
      </w:r>
      <w:r>
        <w:rPr>
          <w:rFonts w:hint="eastAsia"/>
          <w:lang w:val="en-US"/>
        </w:rPr>
        <w:t xml:space="preserve"> prior authorization (PA) codes through Med-IT</w:t>
      </w:r>
      <w:r>
        <w:rPr>
          <w:rFonts w:hint="default"/>
          <w:lang w:val="en-US"/>
        </w:rPr>
        <w:t>.</w:t>
      </w:r>
    </w:p>
    <w:p>
      <w:pPr>
        <w:pStyle w:val="5"/>
        <w:numPr>
          <w:ilvl w:val="0"/>
          <w:numId w:val="1"/>
        </w:numPr>
        <w:rPr>
          <w:rFonts w:hint="eastAsia"/>
          <w:lang w:val="en-US"/>
        </w:rPr>
      </w:pPr>
      <w:r>
        <w:rPr>
          <w:rFonts w:hint="eastAsia"/>
          <w:lang w:val="en-US"/>
        </w:rPr>
        <w:t xml:space="preserve">Make brochures and posters available in your lobby for patients </w:t>
      </w:r>
    </w:p>
    <w:p>
      <w:pPr>
        <w:pStyle w:val="5"/>
        <w:numPr>
          <w:ilvl w:val="0"/>
          <w:numId w:val="1"/>
        </w:numPr>
        <w:rPr>
          <w:rFonts w:hint="eastAsia"/>
          <w:lang w:val="en-US"/>
        </w:rPr>
      </w:pPr>
      <w:r>
        <w:rPr>
          <w:rFonts w:hint="eastAsia"/>
          <w:lang w:val="en-US"/>
        </w:rPr>
        <w:t>Ensure your EHR is equipped to flag patients for a screening/re-screening</w:t>
      </w:r>
      <w:r>
        <w:rPr>
          <w:rFonts w:hint="default"/>
          <w:lang w:val="en-US"/>
        </w:rPr>
        <w:t xml:space="preserve"> reminders.</w:t>
      </w:r>
    </w:p>
    <w:p>
      <w:pPr>
        <w:pStyle w:val="5"/>
        <w:numPr>
          <w:ilvl w:val="0"/>
          <w:numId w:val="1"/>
        </w:numPr>
        <w:rPr>
          <w:rFonts w:hint="eastAsia"/>
          <w:lang w:val="en-US"/>
        </w:rPr>
      </w:pPr>
      <w:r>
        <w:rPr>
          <w:rFonts w:hint="eastAsia"/>
          <w:lang w:val="en-US"/>
        </w:rPr>
        <w:t>Pull lists every Monday and ask your staff to make calls to remind patients of screening and re-screening during clinic down time. You can also use Telavox to send automated screening reminder calls.</w:t>
      </w:r>
    </w:p>
    <w:p>
      <w:pPr>
        <w:pStyle w:val="5"/>
        <w:numPr>
          <w:ilvl w:val="0"/>
          <w:numId w:val="1"/>
        </w:numPr>
        <w:rPr>
          <w:rFonts w:hint="eastAsia" w:ascii="Times New Roman" w:hAnsi="Times New Roman" w:cs="Times New Roman"/>
          <w:sz w:val="24"/>
          <w:szCs w:val="24"/>
          <w:lang w:val="en-US"/>
        </w:rPr>
      </w:pPr>
      <w:r>
        <w:rPr>
          <w:rFonts w:hint="eastAsia"/>
          <w:lang w:val="en-US"/>
        </w:rPr>
        <w:t>Remind patients that if they have high-deductible Obamacare health plans that they can qualify for BCN services if they cannot afford premiums</w:t>
      </w:r>
    </w:p>
    <w:p>
      <w:pPr>
        <w:pStyle w:val="5"/>
        <w:numPr>
          <w:ilvl w:val="0"/>
          <w:numId w:val="1"/>
        </w:numPr>
        <w:rPr>
          <w:rFonts w:hint="eastAsia"/>
          <w:lang w:val="en-US"/>
        </w:rPr>
      </w:pPr>
      <w:r>
        <w:rPr>
          <w:rFonts w:hint="eastAsia"/>
          <w:lang w:val="en-US"/>
        </w:rPr>
        <w:t>Share information about BCN/WW programs on your Facebook page, at church and other faith-based gatherings and community health fairs.</w:t>
      </w:r>
    </w:p>
    <w:p>
      <w:pPr>
        <w:keepNext w:val="0"/>
        <w:keepLines w:val="0"/>
        <w:widowControl/>
        <w:suppressLineNumbers w:val="0"/>
        <w:spacing w:before="0" w:beforeAutospacing="0" w:after="0" w:afterAutospacing="0" w:line="307" w:lineRule="auto"/>
        <w:ind w:left="0" w:right="125"/>
        <w:jc w:val="left"/>
        <w:rPr>
          <w:rFonts w:hint="eastAsia" w:ascii="Times New Roman" w:hAnsi="Times New Roman" w:cs="Times New Roman"/>
          <w:b/>
          <w:bCs w:val="0"/>
          <w:sz w:val="24"/>
          <w:szCs w:val="24"/>
          <w:lang w:val="en-US"/>
        </w:rPr>
      </w:pPr>
    </w:p>
    <w:p>
      <w:pPr>
        <w:keepNext w:val="0"/>
        <w:keepLines w:val="0"/>
        <w:widowControl/>
        <w:suppressLineNumbers w:val="0"/>
        <w:spacing w:before="0" w:beforeAutospacing="0" w:after="0" w:afterAutospacing="0" w:line="307" w:lineRule="auto"/>
        <w:ind w:left="0" w:right="125"/>
        <w:jc w:val="left"/>
        <w:rPr>
          <w:rFonts w:hint="eastAsia" w:ascii="Times New Roman" w:hAnsi="Times New Roman" w:cs="Times New Roman"/>
          <w:b/>
          <w:bCs w:val="0"/>
          <w:sz w:val="24"/>
          <w:szCs w:val="24"/>
          <w:lang w:val="en-US"/>
        </w:rPr>
      </w:pPr>
    </w:p>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variable"/>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Cambria Math">
    <w:panose1 w:val="02040503050406030204"/>
    <w:charset w:val="00"/>
    <w:family w:val="auto"/>
    <w:pitch w:val="variable"/>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B5B02"/>
    <w:multiLevelType w:val="multilevel"/>
    <w:tmpl w:val="519B5B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0"/>
  <w:bordersDoNotSurroundFooter w:val="0"/>
  <w:documentProtection w:enforcement="0"/>
  <w:defaultTabStop w:val="720"/>
  <w:displayHorizontalDrawingGridEvery w:val="1"/>
  <w:displayVerticalDrawingGridEvery w:val="1"/>
  <w:characterSpacingControl w:val="doNotCompress"/>
  <w:compat>
    <w:doNotExpandShiftReturn/>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B4"/>
    <w:rsid w:val="00046B4E"/>
    <w:rsid w:val="00350711"/>
    <w:rsid w:val="00551BA8"/>
    <w:rsid w:val="006901B4"/>
    <w:rsid w:val="00A152E5"/>
    <w:rsid w:val="00D52D61"/>
    <w:rsid w:val="600B77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3">
    <w:name w:val="Default Paragraph Font"/>
    <w:unhideWhenUsed/>
    <w:uiPriority w:val="1"/>
  </w:style>
  <w:style w:type="table" w:default="1" w:styleId="4">
    <w:name w:val="Normal Table"/>
    <w:unhideWhenUsed/>
    <w:uiPriority w:val="99"/>
    <w:pPr>
      <w:keepNext w:val="0"/>
      <w:keepLines w:val="0"/>
      <w:widowControl/>
      <w:suppressLineNumbers w:val="0"/>
      <w:spacing w:before="0" w:beforeAutospacing="0" w:after="160" w:afterAutospacing="0" w:line="256" w:lineRule="auto"/>
      <w:ind w:left="0" w:right="0"/>
    </w:pPr>
    <w:rPr>
      <w:rFonts w:hint="default" w:ascii="Calibri" w:hAnsi="Calibri" w:cs="Times New Roman"/>
      <w:sz w:val="22"/>
      <w:szCs w:val="22"/>
    </w:rPr>
    <w:tblPr>
      <w:tblLayout w:type="fixed"/>
      <w:tblCellMar>
        <w:top w:w="0" w:type="dxa"/>
        <w:left w:w="108" w:type="dxa"/>
        <w:bottom w:w="0" w:type="dxa"/>
        <w:right w:w="108" w:type="dxa"/>
      </w:tblCellMar>
    </w:tblPr>
  </w:style>
  <w:style w:type="paragraph" w:styleId="2">
    <w:name w:val="Normal (Web)"/>
    <w:unhideWhenUsed/>
    <w:uiPriority w:val="99"/>
    <w:pPr>
      <w:spacing w:before="0" w:beforeAutospacing="1" w:after="0" w:afterAutospacing="1" w:line="240" w:lineRule="auto"/>
      <w:ind w:left="0" w:right="0"/>
      <w:jc w:val="left"/>
    </w:pPr>
    <w:rPr>
      <w:rFonts w:ascii="Times New Roman" w:hAnsi="Times New Roman" w:eastAsia="Times New Roman" w:cs="Times New Roman"/>
      <w:color w:val="auto"/>
      <w:kern w:val="0"/>
      <w:sz w:val="24"/>
      <w:szCs w:val="24"/>
      <w:lang w:val="en-US" w:eastAsia="zh-CN" w:bidi="ar"/>
    </w:rPr>
  </w:style>
  <w:style w:type="paragraph" w:customStyle="1" w:styleId="5">
    <w:name w:val="List Paragraph"/>
    <w:basedOn w:val="1"/>
    <w:qFormat/>
    <w:uiPriority w:val="34"/>
    <w:pPr>
      <w:ind w:left="720"/>
      <w:contextualSpacing/>
    </w:pPr>
  </w:style>
  <w:style w:type="paragraph" w:customStyle="1" w:styleId="6">
    <w:name w:val="msolistparagraph"/>
    <w:uiPriority w:val="0"/>
    <w:pPr>
      <w:keepNext w:val="0"/>
      <w:keepLines w:val="0"/>
      <w:widowControl/>
      <w:suppressLineNumbers w:val="0"/>
      <w:spacing w:before="0" w:beforeAutospacing="0" w:after="160" w:afterAutospacing="0" w:line="256" w:lineRule="auto"/>
      <w:ind w:left="720" w:right="0"/>
      <w:contextualSpacing/>
      <w:jc w:val="left"/>
    </w:pPr>
    <w:rPr>
      <w:rFonts w:ascii="Courier New" w:hAnsi="Courier New" w:eastAsia="Courier New" w:cs="Courier New"/>
      <w:color w:val="000000"/>
      <w:kern w:val="0"/>
      <w:sz w:val="22"/>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311</Words>
  <Characters>1773</Characters>
  <Lines>14</Lines>
  <Paragraphs>4</Paragraphs>
  <TotalTime>0</TotalTime>
  <ScaleCrop>false</ScaleCrop>
  <LinksUpToDate>false</LinksUpToDate>
  <CharactersWithSpaces>2080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2017-01-05T21:10:00Z</dcterms:created>
  <dc:creator>Tiffany Simpson-Crumpley</dc:creator>
  <cp:lastModifiedBy>Basheer</cp:lastModifiedBy>
  <dcterms:modified xsi:type="dcterms:W3CDTF">2017-01-17T18:14:59Z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