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bookmarkStart w:id="0" w:name="_GoBack"/>
      <w:bookmarkEnd w:id="0"/>
      <w:r>
        <w:rPr>
          <w:i/>
        </w:rPr>
        <w:t>WISEWOMAN</w:t>
      </w:r>
      <w:r>
        <w:t xml:space="preserve"> HEALTH COACHING/LIFESTYLE PROGRAM FEE-FOR-SERVICE SCHEDULE</w:t>
      </w:r>
    </w:p>
    <w:p>
      <w:pPr>
        <w:pStyle w:val="6"/>
      </w:pPr>
    </w:p>
    <w:tbl>
      <w:tblPr>
        <w:tblStyle w:val="4"/>
        <w:tblW w:w="11214" w:type="dxa"/>
        <w:tblInd w:w="-1560" w:type="dxa"/>
        <w:tblLayout w:type="fixed"/>
        <w:tblCellMar>
          <w:top w:w="0" w:type="dxa"/>
          <w:left w:w="187" w:type="dxa"/>
          <w:bottom w:w="0" w:type="dxa"/>
          <w:right w:w="187" w:type="dxa"/>
        </w:tblCellMar>
      </w:tblPr>
      <w:tblGrid>
        <w:gridCol w:w="7927"/>
        <w:gridCol w:w="30"/>
        <w:gridCol w:w="1410"/>
        <w:gridCol w:w="1847"/>
      </w:tblGrid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618" w:hRule="exact"/>
        </w:trPr>
        <w:tc>
          <w:tcPr>
            <w:tcW w:w="11214" w:type="dxa"/>
            <w:gridSpan w:val="4"/>
            <w:tcBorders>
              <w:top w:val="double" w:color="000000" w:sz="6" w:space="0"/>
              <w:left w:val="double" w:color="000000" w:sz="6" w:space="0"/>
              <w:bottom w:val="double" w:color="000000" w:sz="4" w:space="0"/>
              <w:right w:val="double" w:color="000000" w:sz="6" w:space="0"/>
            </w:tcBorders>
            <w:shd w:val="clear" w:color="auto" w:fill="FFFFFF" w:themeFill="background1"/>
          </w:tcPr>
          <w:p>
            <w:pPr>
              <w:pStyle w:val="2"/>
              <w:rPr>
                <w:sz w:val="28"/>
              </w:rPr>
            </w:pPr>
            <w:r>
              <w:t>CONTRACTUAL SERVICES</w:t>
            </w:r>
          </w:p>
          <w:p>
            <w:pPr>
              <w:tabs>
                <w:tab w:val="left" w:pos="-720"/>
              </w:tabs>
              <w:ind w:right="-1008"/>
              <w:rPr>
                <w:b/>
                <w:bCs/>
                <w:sz w:val="28"/>
              </w:rPr>
            </w:pPr>
            <w:r>
              <w:rPr>
                <w:b/>
                <w:bCs/>
                <w:szCs w:val="22"/>
              </w:rPr>
              <w:t>06/30/2017 through 06/29/2018</w:t>
            </w:r>
          </w:p>
          <w:p>
            <w:pPr>
              <w:tabs>
                <w:tab w:val="left" w:pos="-720"/>
                <w:tab w:val="left" w:pos="1516"/>
              </w:tabs>
              <w:spacing w:after="58"/>
              <w:ind w:right="-1008"/>
              <w:rPr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705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double" w:color="000000" w:sz="2" w:space="0"/>
              <w:right w:val="double" w:color="000000" w:sz="2" w:space="0"/>
            </w:tcBorders>
            <w:shd w:val="clear" w:color="auto" w:fill="B8CCE4" w:themeFill="accent1" w:themeFillTint="66"/>
          </w:tcPr>
          <w:p>
            <w:pPr>
              <w:spacing w:line="72" w:lineRule="exact"/>
              <w:ind w:right="-1008"/>
              <w:rPr>
                <w:b/>
              </w:rPr>
            </w:pPr>
          </w:p>
          <w:p>
            <w:pPr>
              <w:tabs>
                <w:tab w:val="left" w:pos="-720"/>
              </w:tabs>
              <w:spacing w:before="40"/>
              <w:ind w:right="-1008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HEALTH COACHING SESSIONS </w:t>
            </w:r>
          </w:p>
          <w:p>
            <w:pPr>
              <w:tabs>
                <w:tab w:val="left" w:pos="-720"/>
              </w:tabs>
              <w:ind w:right="-1008"/>
              <w:rPr>
                <w:b/>
              </w:rPr>
            </w:pPr>
          </w:p>
        </w:tc>
        <w:tc>
          <w:tcPr>
            <w:tcW w:w="1410" w:type="dxa"/>
            <w:tcBorders>
              <w:top w:val="double" w:color="000000" w:sz="4" w:space="0"/>
              <w:left w:val="double" w:color="000000" w:sz="2" w:space="0"/>
              <w:bottom w:val="double" w:color="000000" w:sz="2" w:space="0"/>
              <w:right w:val="double" w:color="000000" w:sz="2" w:space="0"/>
            </w:tcBorders>
            <w:shd w:val="clear" w:color="auto" w:fill="B8CCE4" w:themeFill="accent1" w:themeFillTint="66"/>
          </w:tcPr>
          <w:p>
            <w:pPr>
              <w:tabs>
                <w:tab w:val="left" w:pos="-720"/>
              </w:tabs>
              <w:ind w:right="-1008"/>
            </w:pPr>
            <w:r>
              <w:rPr>
                <w:b/>
                <w:bCs/>
                <w:sz w:val="22"/>
                <w:szCs w:val="22"/>
              </w:rPr>
              <w:t>CPT CODE</w:t>
            </w:r>
          </w:p>
        </w:tc>
        <w:tc>
          <w:tcPr>
            <w:tcW w:w="1847" w:type="dxa"/>
            <w:tcBorders>
              <w:top w:val="single" w:color="000000" w:sz="8" w:space="0"/>
              <w:left w:val="double" w:color="000000" w:sz="2" w:space="0"/>
              <w:bottom w:val="double" w:color="000000" w:sz="2" w:space="0"/>
              <w:right w:val="double" w:color="000000" w:sz="6" w:space="0"/>
            </w:tcBorders>
            <w:shd w:val="clear" w:color="auto" w:fill="B8CCE4" w:themeFill="accent1" w:themeFillTint="66"/>
          </w:tcPr>
          <w:p>
            <w:pPr>
              <w:tabs>
                <w:tab w:val="left" w:pos="-720"/>
                <w:tab w:val="left" w:pos="1516"/>
              </w:tabs>
              <w:spacing w:after="58"/>
              <w:ind w:right="-1008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ALLOWABLE</w:t>
            </w:r>
          </w:p>
          <w:p>
            <w:pPr>
              <w:tabs>
                <w:tab w:val="left" w:pos="-720"/>
                <w:tab w:val="left" w:pos="1516"/>
              </w:tabs>
              <w:spacing w:after="90"/>
              <w:ind w:right="-1008"/>
            </w:pPr>
            <w:r>
              <w:rPr>
                <w:b/>
                <w:bCs/>
                <w:sz w:val="22"/>
                <w:szCs w:val="22"/>
              </w:rPr>
              <w:t xml:space="preserve">    CHARGE</w:t>
            </w: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519" w:hRule="exact"/>
        </w:trPr>
        <w:tc>
          <w:tcPr>
            <w:tcW w:w="7927" w:type="dxa"/>
            <w:tcBorders>
              <w:top w:val="double" w:color="000000" w:sz="2" w:space="0"/>
              <w:left w:val="double" w:color="000000" w:sz="2" w:space="0"/>
              <w:bottom w:val="double" w:color="000000" w:sz="4" w:space="0"/>
              <w:right w:val="double" w:color="000000" w:sz="2" w:space="0"/>
            </w:tcBorders>
            <w:shd w:val="clear" w:color="auto" w:fill="auto"/>
          </w:tcPr>
          <w:p>
            <w:pPr>
              <w:tabs>
                <w:tab w:val="left" w:pos="1516"/>
              </w:tabs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spacing w:before="40"/>
              <w:ind w:right="-10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Online submission of health coaching data through Med-IT</w:t>
            </w:r>
          </w:p>
        </w:tc>
        <w:tc>
          <w:tcPr>
            <w:tcW w:w="1440" w:type="dxa"/>
            <w:gridSpan w:val="2"/>
            <w:tcBorders>
              <w:top w:val="double" w:color="000000" w:sz="2" w:space="0"/>
              <w:left w:val="double" w:color="000000" w:sz="2" w:space="0"/>
              <w:bottom w:val="double" w:color="000000" w:sz="4" w:space="0"/>
              <w:right w:val="double" w:color="000000" w:sz="2" w:space="0"/>
            </w:tcBorders>
            <w:shd w:val="clear" w:color="auto" w:fill="auto"/>
          </w:tcPr>
          <w:p>
            <w:pPr>
              <w:tabs>
                <w:tab w:val="left" w:pos="-720"/>
              </w:tabs>
              <w:spacing w:before="40"/>
              <w:ind w:right="-10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9942L</w:t>
            </w:r>
          </w:p>
          <w:p>
            <w:pPr>
              <w:tabs>
                <w:tab w:val="left" w:pos="1516"/>
              </w:tabs>
              <w:spacing w:line="72" w:lineRule="exact"/>
              <w:ind w:right="-10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double" w:color="000000" w:sz="2" w:space="0"/>
              <w:left w:val="double" w:color="000000" w:sz="2" w:space="0"/>
              <w:bottom w:val="double" w:color="000000" w:sz="4" w:space="0"/>
              <w:right w:val="double" w:color="000000" w:sz="2" w:space="0"/>
            </w:tcBorders>
            <w:shd w:val="clear" w:color="auto" w:fill="auto"/>
          </w:tcPr>
          <w:p>
            <w:pPr>
              <w:tabs>
                <w:tab w:val="left" w:pos="-7"/>
                <w:tab w:val="left" w:pos="443"/>
              </w:tabs>
              <w:spacing w:after="90"/>
              <w:ind w:left="-7"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5.00</w:t>
            </w: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1281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tabs>
                <w:tab w:val="left" w:pos="-720"/>
              </w:tabs>
              <w:spacing w:before="240" w:line="360" w:lineRule="auto"/>
              <w:ind w:right="-1008"/>
            </w:pPr>
            <w:r>
              <w:rPr>
                <w:sz w:val="22"/>
                <w:szCs w:val="22"/>
              </w:rPr>
              <w:t>Education and training for patient self-management (individual patient)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30 – 44 minutes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45 – 60 minutes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</w:t>
            </w:r>
          </w:p>
          <w:p>
            <w:pPr>
              <w:tabs>
                <w:tab w:val="left" w:pos="-720"/>
              </w:tabs>
              <w:ind w:right="-10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   </w:t>
            </w:r>
          </w:p>
          <w:p>
            <w:pPr>
              <w:tabs>
                <w:tab w:val="left" w:pos="-720"/>
              </w:tabs>
              <w:ind w:right="-1008"/>
            </w:pPr>
          </w:p>
        </w:tc>
        <w:tc>
          <w:tcPr>
            <w:tcW w:w="1410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ind w:right="-1008"/>
            </w:pPr>
          </w:p>
          <w:p>
            <w:pPr>
              <w:ind w:right="-1008"/>
              <w:rPr>
                <w:sz w:val="22"/>
                <w:szCs w:val="22"/>
              </w:rPr>
            </w:pPr>
          </w:p>
          <w:p>
            <w:pPr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8960S </w:t>
            </w:r>
          </w:p>
          <w:p>
            <w:pPr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8960L </w:t>
            </w:r>
          </w:p>
          <w:p>
            <w:pPr>
              <w:ind w:right="-1008"/>
              <w:jc w:val="center"/>
            </w:pPr>
          </w:p>
        </w:tc>
        <w:tc>
          <w:tcPr>
            <w:tcW w:w="1847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2" w:space="0"/>
            </w:tcBorders>
          </w:tcPr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45.00</w:t>
            </w:r>
          </w:p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60.00 </w:t>
            </w: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1073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spacing w:line="360" w:lineRule="auto"/>
              <w:ind w:right="-1008"/>
            </w:pPr>
            <w:r>
              <w:rPr>
                <w:sz w:val="22"/>
                <w:szCs w:val="22"/>
              </w:rPr>
              <w:t>Group education and training for self-management   (2 – 4 patients)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30 – 44 minutes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45 – 60 minutes</w:t>
            </w:r>
          </w:p>
          <w:p>
            <w:pPr>
              <w:tabs>
                <w:tab w:val="left" w:pos="-720"/>
              </w:tabs>
              <w:ind w:right="-1008"/>
            </w:pPr>
          </w:p>
        </w:tc>
        <w:tc>
          <w:tcPr>
            <w:tcW w:w="1410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8961S 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8961L </w:t>
            </w:r>
          </w:p>
        </w:tc>
        <w:tc>
          <w:tcPr>
            <w:tcW w:w="1847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45.00</w:t>
            </w:r>
          </w:p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60.00 </w:t>
            </w: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1082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spacing w:line="360" w:lineRule="auto"/>
              <w:ind w:right="-1008"/>
            </w:pPr>
            <w:r>
              <w:rPr>
                <w:sz w:val="22"/>
                <w:szCs w:val="22"/>
              </w:rPr>
              <w:t>Group education and training for self-management   (5 – 8 patients)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30 – 44 minutes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45 – 60 minutes</w:t>
            </w:r>
          </w:p>
          <w:p>
            <w:pPr>
              <w:tabs>
                <w:tab w:val="left" w:pos="-720"/>
              </w:tabs>
              <w:ind w:right="-1008"/>
            </w:pPr>
          </w:p>
        </w:tc>
        <w:tc>
          <w:tcPr>
            <w:tcW w:w="1410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8962S 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8962L </w:t>
            </w:r>
          </w:p>
        </w:tc>
        <w:tc>
          <w:tcPr>
            <w:tcW w:w="1847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 45.00</w:t>
            </w:r>
          </w:p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 60.00 </w:t>
            </w: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1433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Telephone and other non-face-to-face assessment &amp; management for an established 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>patient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11 – 20 minutes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21 – 30 minutes</w:t>
            </w:r>
          </w:p>
        </w:tc>
        <w:tc>
          <w:tcPr>
            <w:tcW w:w="1410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98967</w:t>
            </w: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98968</w:t>
            </w:r>
          </w:p>
          <w:p>
            <w:pPr>
              <w:tabs>
                <w:tab w:val="left" w:pos="-720"/>
              </w:tabs>
              <w:ind w:right="-1008"/>
            </w:pPr>
          </w:p>
        </w:tc>
        <w:tc>
          <w:tcPr>
            <w:tcW w:w="1847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20.00</w:t>
            </w:r>
          </w:p>
          <w:p>
            <w:pPr>
              <w:tabs>
                <w:tab w:val="left" w:pos="1516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30.00</w:t>
            </w:r>
          </w:p>
          <w:p>
            <w:pPr>
              <w:tabs>
                <w:tab w:val="left" w:pos="1516"/>
              </w:tabs>
              <w:ind w:right="-1008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1082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Follow-up telephone call after HC completion  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10-15 minute phone call recommended    </w:t>
            </w:r>
          </w:p>
          <w:p>
            <w:pPr>
              <w:tabs>
                <w:tab w:val="left" w:pos="-720"/>
              </w:tabs>
              <w:ind w:right="-1008"/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410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spacing w:line="72" w:lineRule="exact"/>
              <w:ind w:right="-1008"/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</w:p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9896C</w:t>
            </w:r>
          </w:p>
          <w:p>
            <w:pPr>
              <w:tabs>
                <w:tab w:val="left" w:pos="-720"/>
              </w:tabs>
              <w:ind w:right="-1008"/>
            </w:pPr>
          </w:p>
        </w:tc>
        <w:tc>
          <w:tcPr>
            <w:tcW w:w="1847" w:type="dxa"/>
            <w:tcBorders>
              <w:top w:val="single" w:color="000000" w:sz="8" w:space="0"/>
              <w:left w:val="double" w:color="000000" w:sz="4" w:space="0"/>
              <w:bottom w:val="single" w:color="000000" w:sz="8" w:space="0"/>
              <w:right w:val="double" w:color="000000" w:sz="4" w:space="0"/>
            </w:tcBorders>
          </w:tcPr>
          <w:p>
            <w:pPr>
              <w:tabs>
                <w:tab w:val="left" w:pos="1516"/>
              </w:tabs>
              <w:ind w:right="-1008"/>
            </w:pPr>
          </w:p>
          <w:p>
            <w:pPr>
              <w:tabs>
                <w:tab w:val="left" w:pos="1516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20.00</w:t>
            </w:r>
          </w:p>
          <w:p>
            <w:pPr>
              <w:tabs>
                <w:tab w:val="left" w:pos="1516"/>
              </w:tabs>
              <w:ind w:right="-1008"/>
            </w:pPr>
          </w:p>
        </w:tc>
      </w:tr>
      <w:tr>
        <w:tblPrEx>
          <w:tblLayout w:type="fixed"/>
          <w:tblCellMar>
            <w:top w:w="0" w:type="dxa"/>
            <w:left w:w="187" w:type="dxa"/>
            <w:bottom w:w="0" w:type="dxa"/>
            <w:right w:w="187" w:type="dxa"/>
          </w:tblCellMar>
        </w:tblPrEx>
        <w:trPr>
          <w:trHeight w:val="452" w:hRule="exact"/>
        </w:trPr>
        <w:tc>
          <w:tcPr>
            <w:tcW w:w="7957" w:type="dxa"/>
            <w:gridSpan w:val="2"/>
            <w:tcBorders>
              <w:top w:val="single" w:color="000000" w:sz="8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E5DFEC" w:themeFill="accent4" w:themeFillTint="33"/>
          </w:tcPr>
          <w:p>
            <w:pPr>
              <w:spacing w:line="72" w:lineRule="exact"/>
              <w:ind w:right="-1008"/>
              <w:rPr>
                <w:b/>
              </w:rPr>
            </w:pPr>
          </w:p>
          <w:p>
            <w:pPr>
              <w:tabs>
                <w:tab w:val="left" w:pos="-720"/>
              </w:tabs>
              <w:ind w:right="-1008"/>
              <w:rPr>
                <w:b/>
              </w:rPr>
            </w:pPr>
            <w:r>
              <w:rPr>
                <w:b/>
                <w:sz w:val="22"/>
                <w:szCs w:val="22"/>
              </w:rPr>
              <w:t>FOLLOW-UP OF TOBACCO CESSATION REFERRAL</w:t>
            </w:r>
          </w:p>
          <w:p>
            <w:pPr>
              <w:tabs>
                <w:tab w:val="left" w:pos="-720"/>
              </w:tabs>
              <w:ind w:right="-1008"/>
              <w:rPr>
                <w:b/>
              </w:rPr>
            </w:pPr>
          </w:p>
        </w:tc>
        <w:tc>
          <w:tcPr>
            <w:tcW w:w="1410" w:type="dxa"/>
            <w:tcBorders>
              <w:top w:val="single" w:color="000000" w:sz="8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E5DFEC" w:themeFill="accent4" w:themeFillTint="33"/>
          </w:tcPr>
          <w:p>
            <w:pPr>
              <w:tabs>
                <w:tab w:val="left" w:pos="-720"/>
              </w:tabs>
              <w:ind w:right="-10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99429</w:t>
            </w:r>
          </w:p>
        </w:tc>
        <w:tc>
          <w:tcPr>
            <w:tcW w:w="1847" w:type="dxa"/>
            <w:tcBorders>
              <w:top w:val="single" w:color="000000" w:sz="8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E5DFEC" w:themeFill="accent4" w:themeFillTint="33"/>
          </w:tcPr>
          <w:p>
            <w:pPr>
              <w:tabs>
                <w:tab w:val="left" w:pos="1516"/>
              </w:tabs>
              <w:ind w:right="-1008"/>
            </w:pPr>
            <w:r>
              <w:rPr>
                <w:sz w:val="22"/>
                <w:szCs w:val="22"/>
              </w:rPr>
              <w:t xml:space="preserve">         15.00</w:t>
            </w:r>
          </w:p>
        </w:tc>
      </w:tr>
    </w:tbl>
    <w:tbl>
      <w:tblPr>
        <w:tblStyle w:val="5"/>
        <w:tblW w:w="11250" w:type="dxa"/>
        <w:tblInd w:w="-1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0"/>
        <w:gridCol w:w="144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0" w:type="dxa"/>
            <w:shd w:val="clear" w:color="auto" w:fill="DDD9C4" w:themeFill="background2" w:themeFillShade="E6"/>
          </w:tcPr>
          <w:p>
            <w:pPr>
              <w:tabs>
                <w:tab w:val="left" w:pos="5904"/>
              </w:tabs>
              <w:rPr>
                <w:rFonts w:cs="Times New Roman" w:eastAsiaTheme="minorHAnsi"/>
                <w:b/>
                <w:sz w:val="22"/>
                <w:szCs w:val="22"/>
              </w:rPr>
            </w:pPr>
            <w:r>
              <w:rPr>
                <w:rFonts w:cs="Times New Roman" w:eastAsiaTheme="minorHAnsi"/>
                <w:b/>
                <w:sz w:val="22"/>
                <w:szCs w:val="22"/>
              </w:rPr>
              <w:t xml:space="preserve">TOPS COORDINATION &amp; FOLLOW-UP </w:t>
            </w:r>
          </w:p>
        </w:tc>
        <w:tc>
          <w:tcPr>
            <w:tcW w:w="1440" w:type="dxa"/>
            <w:shd w:val="clear" w:color="auto" w:fill="DDD9C4" w:themeFill="background2" w:themeFillShade="E6"/>
          </w:tcPr>
          <w:p>
            <w:pPr>
              <w:tabs>
                <w:tab w:val="left" w:pos="5904"/>
              </w:tabs>
              <w:rPr>
                <w:rFonts w:cs="Times New Roman" w:eastAsiaTheme="minorHAnsi"/>
                <w:b/>
                <w:sz w:val="22"/>
                <w:szCs w:val="22"/>
              </w:rPr>
            </w:pPr>
            <w:r>
              <w:rPr>
                <w:rFonts w:cs="Times New Roman" w:eastAsiaTheme="minorHAnsi"/>
                <w:b/>
                <w:sz w:val="22"/>
                <w:szCs w:val="22"/>
              </w:rPr>
              <w:t>CPT CODE</w:t>
            </w:r>
          </w:p>
        </w:tc>
        <w:tc>
          <w:tcPr>
            <w:tcW w:w="1890" w:type="dxa"/>
            <w:shd w:val="clear" w:color="auto" w:fill="DDD9C4" w:themeFill="background2" w:themeFillShade="E6"/>
          </w:tcPr>
          <w:p>
            <w:pPr>
              <w:tabs>
                <w:tab w:val="left" w:pos="5904"/>
              </w:tabs>
              <w:jc w:val="center"/>
              <w:rPr>
                <w:rFonts w:cs="Times New Roman" w:eastAsiaTheme="minorHAnsi"/>
                <w:b/>
                <w:sz w:val="22"/>
                <w:szCs w:val="22"/>
              </w:rPr>
            </w:pPr>
            <w:r>
              <w:rPr>
                <w:rFonts w:cs="Times New Roman" w:eastAsiaTheme="minorHAnsi"/>
                <w:b/>
                <w:sz w:val="22"/>
                <w:szCs w:val="22"/>
              </w:rPr>
              <w:t>ALLOWABLE CHARGE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0" w:type="dxa"/>
          </w:tcPr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Online submission of health coaching data through Med-IT</w:t>
            </w: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9942L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5.00</w:t>
            </w:r>
          </w:p>
          <w:p>
            <w:pPr>
              <w:tabs>
                <w:tab w:val="left" w:pos="5904"/>
              </w:tabs>
              <w:jc w:val="center"/>
              <w:rPr>
                <w:rFonts w:eastAsia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920" w:type="dxa"/>
          </w:tcPr>
          <w:p>
            <w:pPr>
              <w:tabs>
                <w:tab w:val="left" w:pos="-720"/>
              </w:tabs>
              <w:spacing w:line="360" w:lineRule="auto"/>
              <w:ind w:right="-1008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Face-to-face education and training for patient self-management (individual patient)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 30 – 44 minutes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 45 – 60 minutes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8960S 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8960L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>45.00</w:t>
            </w: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7920" w:type="dxa"/>
          </w:tcPr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Telephone and other non-face-to-face assessment &amp; management for an 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established patient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5-10 minutes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  11-20 minutes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  21-30 minutes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98966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98967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98968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>10.00</w:t>
            </w:r>
          </w:p>
          <w:p>
            <w:pPr>
              <w:tabs>
                <w:tab w:val="left" w:pos="5904"/>
              </w:tabs>
              <w:jc w:val="center"/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20.00</w:t>
            </w: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Follow-up telephone call after TOPS completion 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 10-15 minute phone call recommended</w:t>
            </w: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9896T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0" w:type="dxa"/>
            <w:shd w:val="clear" w:color="auto" w:fill="D6E3BC" w:themeFill="accent3" w:themeFillTint="66"/>
          </w:tcPr>
          <w:p>
            <w:pPr>
              <w:tabs>
                <w:tab w:val="left" w:pos="5904"/>
              </w:tabs>
              <w:rPr>
                <w:rFonts w:cs="Times New Roman" w:eastAsiaTheme="minorHAnsi"/>
                <w:b/>
                <w:sz w:val="22"/>
                <w:szCs w:val="22"/>
              </w:rPr>
            </w:pPr>
            <w:r>
              <w:rPr>
                <w:rFonts w:cs="Times New Roman" w:eastAsiaTheme="minorHAnsi"/>
                <w:b/>
                <w:sz w:val="22"/>
                <w:szCs w:val="22"/>
              </w:rPr>
              <w:t xml:space="preserve">DIABETES PREVENTION PROGRAM (DPP) COORDINATION &amp; FOLLOW-UP 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>
            <w:pPr>
              <w:tabs>
                <w:tab w:val="left" w:pos="5904"/>
              </w:tabs>
              <w:rPr>
                <w:rFonts w:cs="Times New Roman" w:eastAsiaTheme="minorHAnsi"/>
                <w:b/>
                <w:sz w:val="22"/>
                <w:szCs w:val="22"/>
              </w:rPr>
            </w:pPr>
            <w:r>
              <w:rPr>
                <w:rFonts w:cs="Times New Roman" w:eastAsiaTheme="minorHAnsi"/>
                <w:b/>
                <w:sz w:val="22"/>
                <w:szCs w:val="22"/>
              </w:rPr>
              <w:t>CPT CODE</w:t>
            </w:r>
          </w:p>
        </w:tc>
        <w:tc>
          <w:tcPr>
            <w:tcW w:w="1890" w:type="dxa"/>
            <w:shd w:val="clear" w:color="auto" w:fill="D6E3BC" w:themeFill="accent3" w:themeFillTint="66"/>
          </w:tcPr>
          <w:p>
            <w:pPr>
              <w:tabs>
                <w:tab w:val="left" w:pos="5904"/>
              </w:tabs>
              <w:jc w:val="center"/>
              <w:rPr>
                <w:rFonts w:cs="Times New Roman" w:eastAsiaTheme="minorHAnsi"/>
                <w:b/>
                <w:sz w:val="22"/>
                <w:szCs w:val="22"/>
              </w:rPr>
            </w:pPr>
            <w:r>
              <w:rPr>
                <w:rFonts w:cs="Times New Roman" w:eastAsiaTheme="minorHAnsi"/>
                <w:b/>
                <w:sz w:val="22"/>
                <w:szCs w:val="22"/>
              </w:rPr>
              <w:t>ALLOWABLE CHARGE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Online submission of health coaching data through Med-IT</w:t>
            </w:r>
            <w:r>
              <w:rPr>
                <w:rFonts w:cs="Aharoni" w:eastAsiaTheme="minorHAnsi"/>
                <w:sz w:val="22"/>
                <w:szCs w:val="22"/>
              </w:rPr>
              <w:tab/>
            </w:r>
            <w:r>
              <w:rPr>
                <w:rFonts w:cs="Aharoni" w:eastAsiaTheme="minorHAnsi"/>
                <w:sz w:val="22"/>
                <w:szCs w:val="22"/>
              </w:rPr>
              <w:tab/>
            </w: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9942L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ind w:left="612"/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5.00</w:t>
            </w:r>
          </w:p>
          <w:p>
            <w:pPr>
              <w:tabs>
                <w:tab w:val="left" w:pos="5904"/>
              </w:tabs>
              <w:jc w:val="center"/>
              <w:rPr>
                <w:rFonts w:cs="Aharoni" w:eastAsiaTheme="minorHAnsi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0" w:type="dxa"/>
          </w:tcPr>
          <w:p>
            <w:pPr>
              <w:tabs>
                <w:tab w:val="left" w:pos="-720"/>
              </w:tabs>
              <w:spacing w:line="360" w:lineRule="auto"/>
              <w:ind w:right="-1008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>Face-to-face education and training for patient self-management (individual patient)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 30 – 44 minutes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 45 – 60 minutes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8960S 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8960L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>45.00</w:t>
            </w: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0" w:type="dxa"/>
          </w:tcPr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Telephone and other non-face-to-face assessment &amp; management for an 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established patient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</w:t>
            </w:r>
          </w:p>
          <w:p>
            <w:pPr>
              <w:tabs>
                <w:tab w:val="left" w:pos="-720"/>
              </w:tabs>
              <w:ind w:right="-1008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    5-10 minutes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  11-20 minutes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  21-30 minutes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 xml:space="preserve">  98966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98967</w:t>
            </w:r>
          </w:p>
          <w:p>
            <w:pPr>
              <w:tabs>
                <w:tab w:val="left" w:pos="5904"/>
              </w:tabs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98968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rial" w:eastAsiaTheme="minorHAnsi"/>
                <w:sz w:val="22"/>
                <w:szCs w:val="22"/>
              </w:rPr>
              <w:t>10.00</w:t>
            </w:r>
          </w:p>
          <w:p>
            <w:pPr>
              <w:tabs>
                <w:tab w:val="left" w:pos="5904"/>
              </w:tabs>
              <w:jc w:val="center"/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20.00</w:t>
            </w:r>
          </w:p>
          <w:p>
            <w:pPr>
              <w:tabs>
                <w:tab w:val="left" w:pos="5904"/>
              </w:tabs>
              <w:jc w:val="center"/>
              <w:rPr>
                <w:rFonts w:cs="Arial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30.00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92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Follow-up telephone call after DPP completion </w:t>
            </w:r>
          </w:p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 10-15 minute phone call recommended</w:t>
            </w:r>
          </w:p>
        </w:tc>
        <w:tc>
          <w:tcPr>
            <w:tcW w:w="1440" w:type="dxa"/>
          </w:tcPr>
          <w:p>
            <w:pPr>
              <w:tabs>
                <w:tab w:val="left" w:pos="5904"/>
              </w:tabs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 xml:space="preserve">  9896D</w:t>
            </w:r>
          </w:p>
        </w:tc>
        <w:tc>
          <w:tcPr>
            <w:tcW w:w="1890" w:type="dxa"/>
          </w:tcPr>
          <w:p>
            <w:pPr>
              <w:tabs>
                <w:tab w:val="left" w:pos="5904"/>
              </w:tabs>
              <w:jc w:val="center"/>
              <w:rPr>
                <w:rFonts w:cs="Aharoni" w:eastAsiaTheme="minorHAnsi"/>
                <w:sz w:val="22"/>
                <w:szCs w:val="22"/>
              </w:rPr>
            </w:pPr>
            <w:r>
              <w:rPr>
                <w:rFonts w:cs="Aharoni" w:eastAsiaTheme="minorHAnsi"/>
                <w:sz w:val="22"/>
                <w:szCs w:val="22"/>
              </w:rPr>
              <w:t>20.00</w:t>
            </w:r>
          </w:p>
        </w:tc>
      </w:tr>
    </w:tbl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firstLine="720"/>
      </w:pPr>
    </w:p>
    <w:p>
      <w:pPr>
        <w:ind w:left="270" w:hanging="1620"/>
      </w:pPr>
      <w:r>
        <w:t>March 30, 2017</w:t>
      </w:r>
    </w:p>
    <w:sectPr>
      <w:pgSz w:w="12240" w:h="15840"/>
      <w:pgMar w:top="432" w:right="1440" w:bottom="432" w:left="207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haroni">
    <w:altName w:val="Yu Gothic UI Semibold"/>
    <w:panose1 w:val="02010803020104030203"/>
    <w:charset w:val="B1"/>
    <w:family w:val="auto"/>
    <w:pitch w:val="default"/>
    <w:sig w:usb0="00000000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311"/>
    <w:rsid w:val="000C4CFA"/>
    <w:rsid w:val="000F40C9"/>
    <w:rsid w:val="001367EA"/>
    <w:rsid w:val="002D4021"/>
    <w:rsid w:val="00301AEE"/>
    <w:rsid w:val="003074C9"/>
    <w:rsid w:val="00354112"/>
    <w:rsid w:val="00424311"/>
    <w:rsid w:val="00444576"/>
    <w:rsid w:val="004551A0"/>
    <w:rsid w:val="00482DE0"/>
    <w:rsid w:val="0066727D"/>
    <w:rsid w:val="008172F6"/>
    <w:rsid w:val="008559E1"/>
    <w:rsid w:val="008B0171"/>
    <w:rsid w:val="009F4DB8"/>
    <w:rsid w:val="00A64844"/>
    <w:rsid w:val="00B274E3"/>
    <w:rsid w:val="00BB599B"/>
    <w:rsid w:val="00D435A1"/>
    <w:rsid w:val="00DF6E5E"/>
    <w:rsid w:val="00E74E83"/>
    <w:rsid w:val="00F17818"/>
    <w:rsid w:val="00F40C48"/>
    <w:rsid w:val="01AE58B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tabs>
        <w:tab w:val="left" w:pos="-720"/>
      </w:tabs>
      <w:ind w:right="-1008"/>
      <w:outlineLvl w:val="0"/>
    </w:pPr>
    <w:rPr>
      <w:b/>
      <w:bCs/>
      <w:szCs w:val="2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39"/>
    <w:rPr>
      <w:rFonts w:eastAsiaTheme="min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Level 1"/>
    <w:basedOn w:val="1"/>
    <w:uiPriority w:val="99"/>
    <w:pPr>
      <w:ind w:left="1440" w:right="-1008" w:hanging="3060"/>
      <w:jc w:val="center"/>
      <w:outlineLvl w:val="0"/>
    </w:pPr>
    <w:rPr>
      <w:b/>
      <w:bCs/>
      <w:iCs/>
      <w:sz w:val="22"/>
      <w:szCs w:val="22"/>
    </w:rPr>
  </w:style>
  <w:style w:type="character" w:customStyle="1" w:styleId="7">
    <w:name w:val="Heading 1 Char"/>
    <w:basedOn w:val="3"/>
    <w:link w:val="2"/>
    <w:uiPriority w:val="9"/>
    <w:rPr>
      <w:rFonts w:ascii="Times New Roman" w:hAnsi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SCDHEC</Company>
  <Pages>2</Pages>
  <Words>358</Words>
  <Characters>2042</Characters>
  <Lines>17</Lines>
  <Paragraphs>4</Paragraphs>
  <ScaleCrop>false</ScaleCrop>
  <LinksUpToDate>false</LinksUpToDate>
  <CharactersWithSpaces>2396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2017-03-30T18:56:00Z</dcterms:created>
  <dc:creator>Dale Henslee</dc:creator>
  <cp:lastModifiedBy>Basheer</cp:lastModifiedBy>
  <cp:lastPrinted>2014-01-24T19:25:00Z</cp:lastPrinted>
  <dcterms:modified xsi:type="dcterms:W3CDTF">2017-06-01T15:24:16Z</dcterms:modified>
  <dc:title>WISEWOMAN LIFESTYPE PROGRAM/HEALTH COACHING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