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02">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Work &amp; Christianity </w:t>
      </w:r>
    </w:p>
    <w:p w:rsidR="00000000" w:rsidDel="00000000" w:rsidP="00000000" w:rsidRDefault="00000000" w:rsidRPr="00000000" w14:paraId="0000000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Integrative paper</w:t>
      </w:r>
    </w:p>
    <w:p w:rsidR="00000000" w:rsidDel="00000000" w:rsidP="00000000" w:rsidRDefault="00000000" w:rsidRPr="00000000" w14:paraId="0000000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sz w:val="24"/>
          <w:szCs w:val="24"/>
          <w:rtl w:val="0"/>
        </w:rPr>
        <w:t xml:space="preserve">Ethical Misconduct and Negligence in Social Work</w:t>
      </w:r>
      <w:r w:rsidDel="00000000" w:rsidR="00000000" w:rsidRPr="00000000">
        <w:rPr>
          <w:rtl w:val="0"/>
        </w:rPr>
      </w:r>
    </w:p>
    <w:p w:rsidR="00000000" w:rsidDel="00000000" w:rsidP="00000000" w:rsidRDefault="00000000" w:rsidRPr="00000000" w14:paraId="00000006">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Joshua Spence &amp; Codi Bobb</w:t>
      </w:r>
    </w:p>
    <w:p w:rsidR="00000000" w:rsidDel="00000000" w:rsidP="00000000" w:rsidRDefault="00000000" w:rsidRPr="00000000" w14:paraId="0000000F">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James A. Long</w:t>
      </w:r>
    </w:p>
    <w:p w:rsidR="00000000" w:rsidDel="00000000" w:rsidP="00000000" w:rsidRDefault="00000000" w:rsidRPr="00000000" w14:paraId="00000010">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Nyack College</w:t>
      </w:r>
    </w:p>
    <w:p w:rsidR="00000000" w:rsidDel="00000000" w:rsidP="00000000" w:rsidRDefault="00000000" w:rsidRPr="00000000" w14:paraId="00000011">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line="480" w:lineRule="auto"/>
        <w:ind w:left="288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 </w:t>
      </w:r>
    </w:p>
    <w:p w:rsidR="00000000" w:rsidDel="00000000" w:rsidP="00000000" w:rsidRDefault="00000000" w:rsidRPr="00000000" w14:paraId="00000018">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paper goes into great detail about a case where a client and social worker violated a rule that was assigned to them by the National Association of Social Work. In a world where ethical dilemmas are constantly coming into existence it is the duty of the social worker to prevent them from coming to pass by abiding by the rules that are set before them. Although, there are many challenges within this profession in regards to privacy, confidentiality and at times religious views it the duty of the social worker to maintain professionalism as well as respect and provide service to client/s. </w:t>
      </w:r>
    </w:p>
    <w:p w:rsidR="00000000" w:rsidDel="00000000" w:rsidP="00000000" w:rsidRDefault="00000000" w:rsidRPr="00000000" w14:paraId="00000019">
      <w:pPr>
        <w:spacing w:after="240"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society people have developed multiple ways in which they are able to express themselves to others. Having a healthy environment where an individual can fully engage with another person is a major contributor to bringing change in our world. This not only can destroy a person's relationship but it can possibly put someone’s well-being at stake. In the field of Social Work it is imperative that clients have a gain a sense that they are important and cared for, and it should be a relationship with boundaries one that is strictly Client to Social Worker. “</w:t>
      </w:r>
      <w:r w:rsidDel="00000000" w:rsidR="00000000" w:rsidRPr="00000000">
        <w:rPr>
          <w:rFonts w:ascii="Times New Roman" w:cs="Times New Roman" w:eastAsia="Times New Roman" w:hAnsi="Times New Roman"/>
          <w:i w:val="1"/>
          <w:sz w:val="24"/>
          <w:szCs w:val="24"/>
          <w:rtl w:val="0"/>
        </w:rPr>
        <w:t xml:space="preserve">Although infrequent, social workers' misconduct and negligence can lead to lawsuits, licensing board complaints, and other disciplinary action.”</w:t>
      </w:r>
      <w:r w:rsidDel="00000000" w:rsidR="00000000" w:rsidRPr="00000000">
        <w:rPr>
          <w:rtl w:val="0"/>
        </w:rPr>
      </w:r>
    </w:p>
    <w:p w:rsidR="00000000" w:rsidDel="00000000" w:rsidP="00000000" w:rsidRDefault="00000000" w:rsidRPr="00000000" w14:paraId="0000002D">
      <w:pPr>
        <w:spacing w:after="240" w:line="48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Clients are real people with emotions that can feel betrayed, loved, and understood. In order to understand someone it takes walking along-side them intentionally. Spaces that are intended to help people get breakthroughs should be held to a high standard, especially in the field of social work. Most individuals look to the social work professional to be able to maintain the information that is shared with them, entrusting them with their insecurities, fears, and secrets. According to the National Association of Social Work Code of Ethics it states, </w:t>
      </w:r>
      <w:r w:rsidDel="00000000" w:rsidR="00000000" w:rsidRPr="00000000">
        <w:rPr>
          <w:rtl w:val="0"/>
        </w:rPr>
      </w:r>
    </w:p>
    <w:p w:rsidR="00000000" w:rsidDel="00000000" w:rsidP="00000000" w:rsidRDefault="00000000" w:rsidRPr="00000000" w14:paraId="0000002E">
      <w:pPr>
        <w:spacing w:after="240" w:line="480" w:lineRule="auto"/>
        <w:ind w:left="45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Social workers should under no circumstances engage in sexual activities, inappropriate sexual communications through the use of technology or in person, or sexual contact with current clients, whether such contact is consensual or forced. </w:t>
      </w:r>
      <w:r w:rsidDel="00000000" w:rsidR="00000000" w:rsidRPr="00000000">
        <w:rPr>
          <w:rFonts w:ascii="Times New Roman" w:cs="Times New Roman" w:eastAsia="Times New Roman" w:hAnsi="Times New Roman"/>
          <w:sz w:val="24"/>
          <w:szCs w:val="24"/>
          <w:highlight w:val="white"/>
          <w:rtl w:val="0"/>
        </w:rPr>
        <w:t xml:space="preserve">1.09 Sexual Relationships</w:t>
      </w:r>
    </w:p>
    <w:p w:rsidR="00000000" w:rsidDel="00000000" w:rsidP="00000000" w:rsidRDefault="00000000" w:rsidRPr="00000000" w14:paraId="0000002F">
      <w:pPr>
        <w:spacing w:after="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Often times in the social community we normally may not see a social worker who is broken or has not deal with their issues before practicing. This could be deemed as a bad start for a social worker because they are carrying what they have been through or currently going through while practicing. It is really sad to say that not every social worker goes through a counseling process before they start practicing professionally. It is very imperative that a social worker who plans on practicing receives the best treatment in counseling so that they don’t either, reflect, can’t deal with an issue because it hits too close to home.</w:t>
      </w:r>
    </w:p>
    <w:p w:rsidR="00000000" w:rsidDel="00000000" w:rsidP="00000000" w:rsidRDefault="00000000" w:rsidRPr="00000000" w14:paraId="00000030">
      <w:pPr>
        <w:spacing w:after="24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searching for an article we came across one that dealt with ethical misconduct and negligence in social work. </w:t>
      </w:r>
    </w:p>
    <w:p w:rsidR="00000000" w:rsidDel="00000000" w:rsidP="00000000" w:rsidRDefault="00000000" w:rsidRPr="00000000" w14:paraId="00000031">
      <w:pPr>
        <w:spacing w:after="240" w:line="480" w:lineRule="auto"/>
        <w:ind w:left="45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Belinda was a clinical social worker in a prominent mental health center that serves adults, adolescents, and children. She was the clinical director of the center's alternative school, which serves adolescents with behavioral health challenges who have difficulty functioning in traditional schools. The program's staffers provide teens with counseling services as an adjunct to their classroom activities. </w:t>
      </w:r>
      <w:r w:rsidDel="00000000" w:rsidR="00000000" w:rsidRPr="00000000">
        <w:rPr>
          <w:rFonts w:ascii="Times New Roman" w:cs="Times New Roman" w:eastAsia="Times New Roman" w:hAnsi="Times New Roman"/>
          <w:i w:val="1"/>
          <w:sz w:val="24"/>
          <w:szCs w:val="24"/>
          <w:highlight w:val="white"/>
          <w:rtl w:val="0"/>
        </w:rPr>
        <w:t xml:space="preserve"> (By Frederic G. Reamer, PhD, Social Work Today, Vol. 15 No. 5 P. 20). </w:t>
      </w:r>
    </w:p>
    <w:p w:rsidR="00000000" w:rsidDel="00000000" w:rsidP="00000000" w:rsidRDefault="00000000" w:rsidRPr="00000000" w14:paraId="00000032">
      <w:pPr>
        <w:spacing w:after="240" w:line="480" w:lineRule="auto"/>
        <w:ind w:left="45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after="220" w:line="480" w:lineRule="auto"/>
        <w:ind w:left="450" w:firstLine="45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Belinda, who is married and the mother of two young children, is currently on a leave of absence from her position due to "personal issues." Next week, she is scheduled to appear with her attorney before her state's social work licensing board to respond to allegations that she became sexually involved with a 17-year-old client enrolled in the mental health center's school. </w:t>
      </w:r>
      <w:r w:rsidDel="00000000" w:rsidR="00000000" w:rsidRPr="00000000">
        <w:rPr>
          <w:rFonts w:ascii="Times New Roman" w:cs="Times New Roman" w:eastAsia="Times New Roman" w:hAnsi="Times New Roman"/>
          <w:i w:val="1"/>
          <w:sz w:val="24"/>
          <w:szCs w:val="24"/>
          <w:highlight w:val="white"/>
          <w:rtl w:val="0"/>
        </w:rPr>
        <w:t xml:space="preserve"> (By Frederic G. Reamer, PhD, Social Work Today, Vol. 15 No. 5 P. 20). </w:t>
      </w:r>
    </w:p>
    <w:p w:rsidR="00000000" w:rsidDel="00000000" w:rsidP="00000000" w:rsidRDefault="00000000" w:rsidRPr="00000000" w14:paraId="00000034">
      <w:pPr>
        <w:spacing w:after="220" w:line="480" w:lineRule="auto"/>
        <w:ind w:left="450" w:firstLine="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spacing w:after="220" w:line="480" w:lineRule="auto"/>
        <w:ind w:left="450" w:firstLine="45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According to the complaint, which was filed by the teen's parents, Belinda developed an intimate relationship with her client. The relationship began with an exchange of suggestive and provocative text messages and evolved into caressing and a series of sexual encounters that took place in Belinda's home. Through her attorney, Belinda admitted to the inappropriate relationship and volunteered to surrender her social work license. She hopes to negotiate a formal agreement with the licensing board that will allow her to seek reinstatement once she completes an extended period of therapy and ethics consultation.</w:t>
      </w:r>
      <w:r w:rsidDel="00000000" w:rsidR="00000000" w:rsidRPr="00000000">
        <w:rPr>
          <w:rFonts w:ascii="Times New Roman" w:cs="Times New Roman" w:eastAsia="Times New Roman" w:hAnsi="Times New Roman"/>
          <w:i w:val="1"/>
          <w:sz w:val="24"/>
          <w:szCs w:val="24"/>
          <w:highlight w:val="white"/>
          <w:rtl w:val="0"/>
        </w:rPr>
        <w:t xml:space="preserve"> (By Frederic G. Reamer, PhD, Social Work Today, Vol. 15 No. 5 P. 20). </w:t>
      </w:r>
    </w:p>
    <w:p w:rsidR="00000000" w:rsidDel="00000000" w:rsidP="00000000" w:rsidRDefault="00000000" w:rsidRPr="00000000" w14:paraId="00000036">
      <w:pPr>
        <w:spacing w:before="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case was one that is currently happening in the social work practices but is not really talked about, because of the embarrassing part of the issue that can be addressed in the light. The social work practice was violated in a way where it says in the code of ethics. </w:t>
      </w:r>
    </w:p>
    <w:p w:rsidR="00000000" w:rsidDel="00000000" w:rsidP="00000000" w:rsidRDefault="00000000" w:rsidRPr="00000000" w14:paraId="00000037">
      <w:pPr>
        <w:spacing w:before="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20" w:line="480" w:lineRule="auto"/>
        <w:ind w:left="9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Social workers should under no circumstances engage in sexual activities, inappropriate sexual communications through the use of technology or in person, or sexual contact with current clients, whether such contact is consensual or forced.</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20" w:line="480" w:lineRule="auto"/>
        <w:ind w:left="9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Social workers should not engage in sexual activities or sexual contact with clients' relatives or other individuals with whom clients maintain a close personal relationship when there is a risk of exploitation or potential harm to the client. Sexual activity or sexual contact with clients' relatives or other individuals with whom clients maintain a personal relationship has the potential to be harmful to the client and may make it difficult for the social worker and client to maintain appropriate professional boundaries (</w:t>
      </w:r>
      <w:r w:rsidDel="00000000" w:rsidR="00000000" w:rsidRPr="00000000">
        <w:rPr>
          <w:rFonts w:ascii="Times New Roman" w:cs="Times New Roman" w:eastAsia="Times New Roman" w:hAnsi="Times New Roman"/>
          <w:sz w:val="24"/>
          <w:szCs w:val="24"/>
          <w:highlight w:val="white"/>
          <w:rtl w:val="0"/>
        </w:rPr>
        <w:t xml:space="preserve">1.09 Sexual Relationships).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20" w:line="480" w:lineRule="auto"/>
        <w:ind w:left="9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workers should not engage in physical contact with clients when there is a possibility of psychological harm to the client as a result of the contact (such as cradling or caressing clients). Social workers who engage in appropriate physical contact with clients are responsible for setting clear, appropriate, and culturally sensitive boundaries that govern such physical contact. (1.10 Physical Contact).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Also, the client that this social worker was working with probably will have an issue recovering from a former person who was supposed to be engaging in counseling, and bettering the well- being will be tarnished. The client would have to go through some other form of counseling because of the trauma that may have been developed.The client was violated in a way where any authority figure that is supposed to be helping him, he can probably see it as a moment where he can engage in some sexual relations.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the values in the NASW code of ethics is Integrity. The ethical principle will be social workers should behave in a trustworthy manner.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20" w:line="480" w:lineRule="auto"/>
        <w:ind w:left="90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workers are continually aware of the profession’s mission, values, ethical principles, and ethical standards and practices in a manner consistent with them. Social workers act honestly and responsibly and promote ethical practices on the part of the organizations with which they are affiliated.”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before="12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Although it may be hard to face the truth this social worker should have practiced and or implemented the value of being trustworthy. Yes, being truthful is not always easy, but we need to do things that should be integral so we would not have to lie. And as Christians we should always be an integral believer of Christ. One of our commandments is “thou shall not lie”. That statement does not only mean verbally, it also means in the things that we do.</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before="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Codi Bobb Response: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before="12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to be truly honest we are Christians first. yes when working in the social work field and you are a licensed practicing social worker it is very important for you to follow the code of ethics, that is the social works Bible. When at work, as a social worker we signed up to help our client in whatever it is they may need if it is realistic. I will provide integrity in all my areas of social work, as a christian we are supposed to be trustworthy, a person who walks uprightly before Christ.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20"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Joshua Spence Response: </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As I grow more in knowledge in the area of social work it is very important that I am knowledgeable in the areas that are necessary such as knowing the Code of Ethics and standards that the social work profession requires the average professional to know. Where there is a challenge there is room to grow. This is said because the field of social work is very broad and will have its moment of challenge. As a Christian and ambassador of Jesus Christ it is imperative that I uphold God commandment which is to, “"'Love the Lord your God with all your heart and with all your soul and with all your mind” (Matthew 22:37, New International Standard Version). I will apply love in the field of social work that I serve in integrity, professionalism, and respect. As a social worker I will respect the inherent dignity of a person and serve them the best way possible as long as that does not cost me my license nor cause me to violate the code of ethics.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2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world today there are many different forms of ethical dilemmas however social workers do not need to play a part in helping matters to grow worse instead they can change agents. It is the duty of social workers to serve the client as long as it does not cost them their license nor violates the Code Of Ethics and Standards set in place by National Association of Social Work. </w:t>
      </w: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12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before="12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before="12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after="220" w:line="240" w:lineRule="auto"/>
        <w:ind w:left="-180" w:firstLine="45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after="220" w:line="240" w:lineRule="auto"/>
        <w:ind w:left="-180" w:firstLine="450"/>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49">
      <w:pPr>
        <w:spacing w:after="24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after="24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C">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D">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E">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F">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0">
      <w:pPr>
        <w:spacing w:after="240" w:line="48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1">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52">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Retrieved from https://biblehub.com/matthew/22-37.htm.</w:t>
      </w:r>
    </w:p>
    <w:p w:rsidR="00000000" w:rsidDel="00000000" w:rsidP="00000000" w:rsidRDefault="00000000" w:rsidRPr="00000000" w14:paraId="00000053">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(n.d.). Retrieved from </w:t>
      </w:r>
      <w:hyperlink r:id="rId6">
        <w:r w:rsidDel="00000000" w:rsidR="00000000" w:rsidRPr="00000000">
          <w:rPr>
            <w:rFonts w:ascii="Times New Roman" w:cs="Times New Roman" w:eastAsia="Times New Roman" w:hAnsi="Times New Roman"/>
            <w:sz w:val="24"/>
            <w:szCs w:val="24"/>
            <w:u w:val="single"/>
            <w:rtl w:val="0"/>
          </w:rPr>
          <w:t xml:space="preserve">https://www.socialworkers.org/about/ethics/code-of-ethics/code-of-ethics-english</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Reamer, F. G. (2016, February). Eye on Ethics. Retrieved from </w:t>
      </w:r>
      <w:hyperlink r:id="rId7">
        <w:r w:rsidDel="00000000" w:rsidR="00000000" w:rsidRPr="00000000">
          <w:rPr>
            <w:rFonts w:ascii="Times New Roman" w:cs="Times New Roman" w:eastAsia="Times New Roman" w:hAnsi="Times New Roman"/>
            <w:sz w:val="24"/>
            <w:szCs w:val="24"/>
            <w:u w:val="single"/>
            <w:rtl w:val="0"/>
          </w:rPr>
          <w:t xml:space="preserve">https://www.socialworktoday.com/news/eoe_0216.shtml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after="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Work Today </w:t>
      </w:r>
    </w:p>
    <w:p w:rsidR="00000000" w:rsidDel="00000000" w:rsidP="00000000" w:rsidRDefault="00000000" w:rsidRPr="00000000" w14:paraId="00000056">
      <w:pPr>
        <w:spacing w:after="240" w:line="48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https://www.socialworktoday.com/archive/090915p20.shtml</w:t>
      </w:r>
    </w:p>
    <w:p w:rsidR="00000000" w:rsidDel="00000000" w:rsidP="00000000" w:rsidRDefault="00000000" w:rsidRPr="00000000" w14:paraId="00000057">
      <w:pPr>
        <w:spacing w:after="240" w:line="480" w:lineRule="auto"/>
        <w:ind w:lef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cialworkers.org/about/ethics/code-of-ethics/code-of-ethics-english" TargetMode="External"/><Relationship Id="rId7" Type="http://schemas.openxmlformats.org/officeDocument/2006/relationships/hyperlink" Target="https://www.socialworktoday.com/news/eoe_021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