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pBdr>
          <w:top w:space="0" w:sz="0" w:val="nil"/>
          <w:left w:space="0" w:sz="0" w:val="nil"/>
          <w:bottom w:space="0" w:sz="0" w:val="nil"/>
          <w:right w:space="0" w:sz="0" w:val="nil"/>
          <w:between w:space="0" w:sz="0" w:val="nil"/>
        </w:pBdr>
        <w:shd w:fill="auto" w:val="clear"/>
        <w:rPr/>
      </w:pPr>
      <w:bookmarkStart w:colFirst="0" w:colLast="0" w:name="_hcfsn8dd2dw4" w:id="0"/>
      <w:bookmarkEnd w:id="0"/>
      <w:r w:rsidDel="00000000" w:rsidR="00000000" w:rsidRPr="00000000">
        <w:rPr>
          <w:rtl w:val="0"/>
        </w:rPr>
        <w:t xml:space="preserve">Integrative Paper </w:t>
      </w:r>
    </w:p>
    <w:p w:rsidR="00000000" w:rsidDel="00000000" w:rsidP="00000000" w:rsidRDefault="00000000" w:rsidRPr="00000000" w14:paraId="00000002">
      <w:pPr>
        <w:pStyle w:val="Subtitle"/>
        <w:pBdr>
          <w:top w:space="0" w:sz="0" w:val="nil"/>
          <w:left w:space="0" w:sz="0" w:val="nil"/>
          <w:bottom w:space="0" w:sz="0" w:val="nil"/>
          <w:right w:space="0" w:sz="0" w:val="nil"/>
          <w:between w:space="0" w:sz="0" w:val="nil"/>
        </w:pBdr>
        <w:shd w:fill="auto" w:val="clear"/>
        <w:jc w:val="center"/>
        <w:rPr/>
      </w:pPr>
      <w:bookmarkStart w:colFirst="0" w:colLast="0" w:name="_ge1mjihjofy9" w:id="1"/>
      <w:bookmarkEnd w:id="1"/>
      <w:r w:rsidDel="00000000" w:rsidR="00000000" w:rsidRPr="00000000">
        <w:rPr>
          <w:rtl w:val="0"/>
        </w:rPr>
        <w:t xml:space="preserve">Jeannie Infante </w:t>
      </w:r>
    </w:p>
    <w:p w:rsidR="00000000" w:rsidDel="00000000" w:rsidP="00000000" w:rsidRDefault="00000000" w:rsidRPr="00000000" w14:paraId="00000003">
      <w:pPr>
        <w:pStyle w:val="Subtitle"/>
        <w:pBdr>
          <w:top w:space="0" w:sz="0" w:val="nil"/>
          <w:left w:space="0" w:sz="0" w:val="nil"/>
          <w:bottom w:space="0" w:sz="0" w:val="nil"/>
          <w:right w:space="0" w:sz="0" w:val="nil"/>
          <w:between w:space="0" w:sz="0" w:val="nil"/>
        </w:pBdr>
        <w:shd w:fill="auto" w:val="clear"/>
        <w:jc w:val="center"/>
        <w:rPr/>
      </w:pPr>
      <w:bookmarkStart w:colFirst="0" w:colLast="0" w:name="_cvzw95kvmu13" w:id="2"/>
      <w:bookmarkEnd w:id="2"/>
      <w:r w:rsidDel="00000000" w:rsidR="00000000" w:rsidRPr="00000000">
        <w:rPr>
          <w:rtl w:val="0"/>
        </w:rPr>
        <w:t xml:space="preserve">Nyack College </w:t>
      </w:r>
    </w:p>
    <w:p w:rsidR="00000000" w:rsidDel="00000000" w:rsidP="00000000" w:rsidRDefault="00000000" w:rsidRPr="00000000" w14:paraId="00000004">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shd w:fill="auto" w:val="clear"/>
        <w:ind w:firstLine="720"/>
        <w:rPr/>
      </w:pPr>
      <w:r w:rsidDel="00000000" w:rsidR="00000000" w:rsidRPr="00000000">
        <w:rPr>
          <w:rtl w:val="0"/>
        </w:rPr>
      </w:r>
    </w:p>
    <w:p w:rsidR="00000000" w:rsidDel="00000000" w:rsidP="00000000" w:rsidRDefault="00000000" w:rsidRPr="00000000" w14:paraId="00000006">
      <w:pPr>
        <w:pBdr>
          <w:top w:space="0" w:sz="0" w:val="nil"/>
          <w:left w:space="0" w:sz="0" w:val="nil"/>
          <w:bottom w:space="0" w:sz="0" w:val="nil"/>
          <w:right w:space="0" w:sz="0" w:val="nil"/>
          <w:between w:space="0" w:sz="0" w:val="nil"/>
        </w:pBdr>
        <w:shd w:fill="auto" w:val="clear"/>
        <w:ind w:firstLine="720"/>
        <w:rPr/>
      </w:pPr>
      <w:r w:rsidDel="00000000" w:rsidR="00000000" w:rsidRPr="00000000">
        <w:br w:type="page"/>
      </w:r>
      <w:r w:rsidDel="00000000" w:rsidR="00000000" w:rsidRPr="00000000">
        <w:rPr>
          <w:rtl w:val="0"/>
        </w:rPr>
      </w:r>
    </w:p>
    <w:p w:rsidR="00000000" w:rsidDel="00000000" w:rsidP="00000000" w:rsidRDefault="00000000" w:rsidRPr="00000000" w14:paraId="00000007">
      <w:pPr>
        <w:spacing w:line="276" w:lineRule="auto"/>
        <w:rPr/>
      </w:pPr>
      <w:r w:rsidDel="00000000" w:rsidR="00000000" w:rsidRPr="00000000">
        <w:rPr>
          <w:rtl w:val="0"/>
        </w:rPr>
      </w:r>
    </w:p>
    <w:p w:rsidR="00000000" w:rsidDel="00000000" w:rsidP="00000000" w:rsidRDefault="00000000" w:rsidRPr="00000000" w14:paraId="00000008">
      <w:pPr>
        <w:rPr/>
      </w:pPr>
      <w:r w:rsidDel="00000000" w:rsidR="00000000" w:rsidRPr="00000000">
        <w:rPr>
          <w:b w:val="1"/>
          <w:rtl w:val="0"/>
        </w:rPr>
        <w:t xml:space="preserve">Halloween and the Sex Offender Myth</w:t>
      </w:r>
      <w:r w:rsidDel="00000000" w:rsidR="00000000" w:rsidRPr="00000000">
        <w:rPr>
          <w:rtl w:val="0"/>
        </w:rPr>
      </w:r>
    </w:p>
    <w:p w:rsidR="00000000" w:rsidDel="00000000" w:rsidP="00000000" w:rsidRDefault="00000000" w:rsidRPr="00000000" w14:paraId="00000009">
      <w:pPr>
        <w:ind w:firstLine="720"/>
        <w:rPr/>
      </w:pPr>
      <w:r w:rsidDel="00000000" w:rsidR="00000000" w:rsidRPr="00000000">
        <w:rPr>
          <w:rtl w:val="0"/>
        </w:rPr>
        <w:t xml:space="preserve">The National Association of Social Work has a member forum and I recently read two postings by Earl Yarington. He writes about his experience as a social worker and a sex offender in light of the Halloween holiday celebration coming up to try to dispel some myths about sex offenders. In the Bible, Matthew 7:1-5 states, “Judge not, that you be not judged. For with the judgment you pronounce you will be judged, and with the measure, you use it will be measured to you. Why do you see the speck that is in your brother's eye, but do not notice the log that is in your own eye? Or how can you say to your brother, ‘Let me take the speck out of your eye,’ when there is the log in your own eye? You hypocrite, first take the log out of your own eye, and then you will see clearly to take the speck out of your brother's eye.” All humans sin and God sees all sin as equal. Social workers value human relationships and believe in the dignity and worth of all people despite their shortcomings. Both social work professionals and Christians believe that people deserve the chance to have a healthy, productive, and prosperous life. </w:t>
      </w:r>
    </w:p>
    <w:p w:rsidR="00000000" w:rsidDel="00000000" w:rsidP="00000000" w:rsidRDefault="00000000" w:rsidRPr="00000000" w14:paraId="0000000A">
      <w:pPr>
        <w:ind w:firstLine="720"/>
        <w:rPr/>
      </w:pPr>
      <w:r w:rsidDel="00000000" w:rsidR="00000000" w:rsidRPr="00000000">
        <w:rPr>
          <w:rtl w:val="0"/>
        </w:rPr>
        <w:t xml:space="preserve">According to US Legal, Inc. (n.d.)., a registered sex offender is “a person who exhibits characteristics showing a tendency to victimize or injure others and has been convicted of a sex crime listed in the relevant state statutes, has been convicted of attempting to commit one of those crimes, or has been found guilty except for insanity of one of those crimes. The registered sex offenders are required to notify the local community authorities of their residence so that the public may have access to information about sexual predators in their neighborhood.” Yarington explains that Halloween is about death, kids dressing up in all sorts of costumes glorifying evil things, while the monster sex offender has to stay locked up in their home or be forced by some states to put up a sign in their yard so that families can know that a sex offender resides in the home. I agree with Yarington that sex offenders should pay for any crime that they commit. He challenges the notion of making their crime publicly known through the </w:t>
      </w:r>
      <w:r w:rsidDel="00000000" w:rsidR="00000000" w:rsidRPr="00000000">
        <w:rPr>
          <w:rtl w:val="0"/>
        </w:rPr>
        <w:t xml:space="preserve">Sex Offender Registration and Notification Act (SORNA), </w:t>
      </w:r>
      <w:r w:rsidDel="00000000" w:rsidR="00000000" w:rsidRPr="00000000">
        <w:rPr>
          <w:rtl w:val="0"/>
        </w:rPr>
        <w:t xml:space="preserve">which sets them up to continue paying for the crime even after they have served time. The irony is that during Halloween sex offenders are faced with the stark reminder of their past crimes on a day that promotes evil and death.</w:t>
      </w:r>
    </w:p>
    <w:p w:rsidR="00000000" w:rsidDel="00000000" w:rsidP="00000000" w:rsidRDefault="00000000" w:rsidRPr="00000000" w14:paraId="0000000B">
      <w:pPr>
        <w:ind w:firstLine="720"/>
        <w:rPr/>
      </w:pPr>
      <w:r w:rsidDel="00000000" w:rsidR="00000000" w:rsidRPr="00000000">
        <w:rPr>
          <w:rtl w:val="0"/>
        </w:rPr>
      </w:r>
    </w:p>
    <w:p w:rsidR="00000000" w:rsidDel="00000000" w:rsidP="00000000" w:rsidRDefault="00000000" w:rsidRPr="00000000" w14:paraId="0000000C">
      <w:pPr>
        <w:ind w:left="0" w:firstLine="0"/>
        <w:rPr/>
      </w:pPr>
      <w:r w:rsidDel="00000000" w:rsidR="00000000" w:rsidRPr="00000000">
        <w:rPr>
          <w:b w:val="1"/>
          <w:rtl w:val="0"/>
        </w:rPr>
        <w:t xml:space="preserve">NASW Code of Ethics Standard Violated </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 </w:t>
        <w:tab/>
        <w:t xml:space="preserve">About 46 years ago, a 9-year-old girl named Lisa French was trick or treating in Wisconsin when Gerald Turner abducted, raped, and murdered her. This was a horrific event that spread all over the U.S. instilling fear amongst parents. Jill Levenson did a study of Halloween and crimes against children and found that less than 1% of crime was child-related. Even if some incidents were missed this is all within 46 years and research shows that sex offender registries and state policies don’t prevent them from re-offending. Other stories are less offensive. For example, a 12-year-old boy was sexually abused and was sent to live at a foster home. When he admitted that he was attracted to young kids the child was removed from the home. He also wasn’t allowed to use the internet and had to be away from visitors when children were around. He was already being treated like a sex offender without committing a crime. The real issue was left untreated. History often repeats itself and it can become a dysfunctional vicious cycle. The boy simply needed to heal from his childhood abuse and trauma. The NASW standard violated here is, “Social workers may limit clients’ right to self-determination when, in the social workers’ professional judgment, clients’ actions or potential actions pose a serious, foreseeable, and imminent risk to themselves or others.” (NASW Code, 2017, 1.02)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b w:val="1"/>
        </w:rPr>
      </w:pPr>
      <w:r w:rsidDel="00000000" w:rsidR="00000000" w:rsidRPr="00000000">
        <w:rPr>
          <w:b w:val="1"/>
          <w:rtl w:val="0"/>
        </w:rPr>
        <w:t xml:space="preserve">Implications for Social Work Practice &amp; Proposed Solution</w:t>
      </w:r>
    </w:p>
    <w:p w:rsidR="00000000" w:rsidDel="00000000" w:rsidP="00000000" w:rsidRDefault="00000000" w:rsidRPr="00000000" w14:paraId="00000010">
      <w:pPr>
        <w:ind w:firstLine="720"/>
        <w:rPr/>
      </w:pPr>
      <w:r w:rsidDel="00000000" w:rsidR="00000000" w:rsidRPr="00000000">
        <w:rPr>
          <w:rtl w:val="0"/>
        </w:rPr>
        <w:t xml:space="preserve">Yarington is suggesting that we look at every situation on a case-to-case basis. The existing policies may remove a client's self-determination even if the problem doesn’t cause an imminent risk to themselves or others. The ethical principle that we need to revise is social workers respect the inherent dignity and worth of the person by adding “in their social environment” because this speaks to the social worker's responsibility to the person and to the broader society. Human actions are limited or determined by the environment (social attitudes and norms, culture, ethnicity, social disadvantage, the price of food, availability of resources, tobacco promotion, religion, media, etc.). Human beings become what they are at any given moment, not by their own free decision, but under the pressure of circumstances which limit their range of choice. The existing laws and policies do not account for a group of sex offenders that were abused themselves. It’s a mental health issue and they must be provided with counseling, therapy, intervention, and support. Most sex offenders will eventually be returned to the community and we have a social responsibility to utilize reintegrative strategies that rely on research to inform what adequate resources should be available in the community. Studies have shown that the existing policies and laws stigmatize, marginalize, and provide many obstacles to reintegration for sex offenders. (Levenson &amp; D'Amora, 2007; Mercado, Alvarez, &amp; Levenson, 2008; Tewksbury &amp; Mustaine, 2009). </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rPr>
      </w:pPr>
      <w:r w:rsidDel="00000000" w:rsidR="00000000" w:rsidRPr="00000000">
        <w:rPr>
          <w:b w:val="1"/>
          <w:rtl w:val="0"/>
        </w:rPr>
        <w:t xml:space="preserve">Social Work and Christian Values</w:t>
      </w:r>
    </w:p>
    <w:p w:rsidR="00000000" w:rsidDel="00000000" w:rsidP="00000000" w:rsidRDefault="00000000" w:rsidRPr="00000000" w14:paraId="00000013">
      <w:pPr>
        <w:ind w:firstLine="720"/>
        <w:rPr/>
      </w:pPr>
      <w:r w:rsidDel="00000000" w:rsidR="00000000" w:rsidRPr="00000000">
        <w:rPr>
          <w:rtl w:val="0"/>
        </w:rPr>
        <w:t xml:space="preserve">Children are one of our most vulnerable population and we must do everything we can to protect them. Psalm 127:3 says, “Behold, children are a heritage from the Lord, the fruit of the womb a reward.” In the same light, they must be trained to live well. Proverbs 22:6 states, “Train up a child in the way he should go, And when he is old he will not depart from it.” What happens if the child is not trained in the right way like the 12-year old boy? Should he be punished and treated like a monster sex offender even though he hasn’t committed a crime? It’s almost like his foster parents failed to meet him where he was and didn’t offer to support him when he needed it the most. Especially after he took the first step and confessed that he had an inappropriate attraction to young kids. I think my Christian values are what will enhance my competence as a social worker. My Christian values prompt me to consider the following verses:</w:t>
      </w:r>
    </w:p>
    <w:p w:rsidR="00000000" w:rsidDel="00000000" w:rsidP="00000000" w:rsidRDefault="00000000" w:rsidRPr="00000000" w14:paraId="00000014">
      <w:pPr>
        <w:numPr>
          <w:ilvl w:val="0"/>
          <w:numId w:val="1"/>
        </w:numPr>
        <w:ind w:left="720" w:hanging="360"/>
        <w:rPr>
          <w:color w:val="000000"/>
        </w:rPr>
      </w:pPr>
      <w:r w:rsidDel="00000000" w:rsidR="00000000" w:rsidRPr="00000000">
        <w:rPr>
          <w:b w:val="1"/>
          <w:rtl w:val="0"/>
        </w:rPr>
        <w:t xml:space="preserve">Romans 12:2 </w:t>
      </w:r>
      <w:r w:rsidDel="00000000" w:rsidR="00000000" w:rsidRPr="00000000">
        <w:rPr>
          <w:rtl w:val="0"/>
        </w:rPr>
        <w:t xml:space="preserve">Do not conform to the pattern of this world, but be transformed by the renewing of your mind. Then you will be able to test and approve what God’s will is—his good, pleasing and perfect will. </w:t>
      </w:r>
    </w:p>
    <w:p w:rsidR="00000000" w:rsidDel="00000000" w:rsidP="00000000" w:rsidRDefault="00000000" w:rsidRPr="00000000" w14:paraId="00000015">
      <w:pPr>
        <w:numPr>
          <w:ilvl w:val="0"/>
          <w:numId w:val="1"/>
        </w:numPr>
        <w:ind w:left="720" w:hanging="360"/>
        <w:rPr>
          <w:color w:val="000000"/>
        </w:rPr>
      </w:pPr>
      <w:r w:rsidDel="00000000" w:rsidR="00000000" w:rsidRPr="00000000">
        <w:rPr>
          <w:b w:val="1"/>
          <w:rtl w:val="0"/>
        </w:rPr>
        <w:t xml:space="preserve">1 Thessalonians 5:22 </w:t>
      </w:r>
      <w:r w:rsidDel="00000000" w:rsidR="00000000" w:rsidRPr="00000000">
        <w:rPr>
          <w:rtl w:val="0"/>
        </w:rPr>
        <w:t xml:space="preserve">Reject every kind of evil. </w:t>
      </w:r>
    </w:p>
    <w:p w:rsidR="00000000" w:rsidDel="00000000" w:rsidP="00000000" w:rsidRDefault="00000000" w:rsidRPr="00000000" w14:paraId="00000016">
      <w:pPr>
        <w:numPr>
          <w:ilvl w:val="0"/>
          <w:numId w:val="1"/>
        </w:numPr>
        <w:ind w:left="720" w:hanging="360"/>
        <w:rPr>
          <w:color w:val="000000"/>
        </w:rPr>
      </w:pPr>
      <w:r w:rsidDel="00000000" w:rsidR="00000000" w:rsidRPr="00000000">
        <w:rPr>
          <w:b w:val="1"/>
          <w:rtl w:val="0"/>
        </w:rPr>
        <w:t xml:space="preserve">Ephesians 6:12</w:t>
      </w:r>
      <w:r w:rsidDel="00000000" w:rsidR="00000000" w:rsidRPr="00000000">
        <w:rPr>
          <w:rtl w:val="0"/>
        </w:rPr>
        <w:t xml:space="preserve"> For our struggle is not against flesh and blood, but against the rulers, against the authorities, against the powers of this dark world and against the spiritual forces of evil in the heavenly realms. </w:t>
      </w:r>
    </w:p>
    <w:p w:rsidR="00000000" w:rsidDel="00000000" w:rsidP="00000000" w:rsidRDefault="00000000" w:rsidRPr="00000000" w14:paraId="00000017">
      <w:pPr>
        <w:numPr>
          <w:ilvl w:val="0"/>
          <w:numId w:val="1"/>
        </w:numPr>
        <w:ind w:left="720" w:hanging="360"/>
        <w:rPr>
          <w:color w:val="000000"/>
        </w:rPr>
      </w:pPr>
      <w:r w:rsidDel="00000000" w:rsidR="00000000" w:rsidRPr="00000000">
        <w:rPr>
          <w:b w:val="1"/>
          <w:rtl w:val="0"/>
        </w:rPr>
        <w:t xml:space="preserve">Ephesians 5:15-16</w:t>
      </w:r>
      <w:r w:rsidDel="00000000" w:rsidR="00000000" w:rsidRPr="00000000">
        <w:rPr>
          <w:rtl w:val="0"/>
        </w:rPr>
        <w:t xml:space="preserve"> Be very careful, then, how you live-not as unwise but as wise, making the most of every opportunity, because the days are evil. </w:t>
      </w:r>
    </w:p>
    <w:p w:rsidR="00000000" w:rsidDel="00000000" w:rsidP="00000000" w:rsidRDefault="00000000" w:rsidRPr="00000000" w14:paraId="00000018">
      <w:pPr>
        <w:numPr>
          <w:ilvl w:val="0"/>
          <w:numId w:val="1"/>
        </w:numPr>
        <w:ind w:left="720" w:hanging="360"/>
        <w:rPr>
          <w:color w:val="000000"/>
        </w:rPr>
      </w:pPr>
      <w:r w:rsidDel="00000000" w:rsidR="00000000" w:rsidRPr="00000000">
        <w:rPr>
          <w:b w:val="1"/>
          <w:rtl w:val="0"/>
        </w:rPr>
        <w:t xml:space="preserve">1 Peter 4:8</w:t>
      </w:r>
      <w:r w:rsidDel="00000000" w:rsidR="00000000" w:rsidRPr="00000000">
        <w:rPr>
          <w:rtl w:val="0"/>
        </w:rPr>
        <w:t xml:space="preserve"> Above all, keep loving one another earnestly, since love covers a multitude of sins.</w:t>
      </w:r>
    </w:p>
    <w:p w:rsidR="00000000" w:rsidDel="00000000" w:rsidP="00000000" w:rsidRDefault="00000000" w:rsidRPr="00000000" w14:paraId="00000019">
      <w:pPr>
        <w:ind w:left="0" w:firstLine="720"/>
        <w:rPr/>
      </w:pPr>
      <w:r w:rsidDel="00000000" w:rsidR="00000000" w:rsidRPr="00000000">
        <w:rPr>
          <w:rtl w:val="0"/>
        </w:rPr>
        <w:t xml:space="preserve">God commands us to submit to human authority so I will adhere to the laws and policies within my agency, but at the same time, I will advocate for positive change if it will enhance my client's well-being and the community in which they live in. My Christian and personal values will always drive how I operate as a social worker but I recognize that sometimes I will have to submit things to God if they are not within my professional capacity to manage. I will ask for help, refer my client out, and then pray. </w:t>
      </w:r>
    </w:p>
    <w:p w:rsidR="00000000" w:rsidDel="00000000" w:rsidP="00000000" w:rsidRDefault="00000000" w:rsidRPr="00000000" w14:paraId="0000001A">
      <w:pPr>
        <w:spacing w:line="480" w:lineRule="auto"/>
        <w:ind w:left="0" w:firstLine="720"/>
        <w:rPr>
          <w:b w:val="1"/>
        </w:rPr>
      </w:pPr>
      <w:r w:rsidDel="00000000" w:rsidR="00000000" w:rsidRPr="00000000">
        <w:rPr>
          <w:rtl w:val="0"/>
        </w:rPr>
      </w:r>
    </w:p>
    <w:p w:rsidR="00000000" w:rsidDel="00000000" w:rsidP="00000000" w:rsidRDefault="00000000" w:rsidRPr="00000000" w14:paraId="0000001B">
      <w:pPr>
        <w:spacing w:line="480" w:lineRule="auto"/>
        <w:rPr/>
      </w:pPr>
      <w:r w:rsidDel="00000000" w:rsidR="00000000" w:rsidRPr="00000000">
        <w:rPr>
          <w:rtl w:val="0"/>
        </w:rPr>
      </w:r>
    </w:p>
    <w:p w:rsidR="00000000" w:rsidDel="00000000" w:rsidP="00000000" w:rsidRDefault="00000000" w:rsidRPr="00000000" w14:paraId="0000001C">
      <w:pPr>
        <w:pBdr>
          <w:top w:space="0" w:sz="0" w:val="nil"/>
          <w:left w:space="0" w:sz="0" w:val="nil"/>
          <w:bottom w:space="0" w:sz="0" w:val="nil"/>
          <w:right w:space="0" w:sz="0" w:val="nil"/>
          <w:between w:space="0" w:sz="0" w:val="nil"/>
        </w:pBdr>
        <w:shd w:fill="auto" w:val="clear"/>
        <w:ind w:firstLine="720"/>
        <w:jc w:val="center"/>
        <w:rPr/>
      </w:pPr>
      <w:r w:rsidDel="00000000" w:rsidR="00000000" w:rsidRPr="00000000">
        <w:rPr>
          <w:rtl w:val="0"/>
        </w:rPr>
      </w:r>
    </w:p>
    <w:p w:rsidR="00000000" w:rsidDel="00000000" w:rsidP="00000000" w:rsidRDefault="00000000" w:rsidRPr="00000000" w14:paraId="0000001D">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1E">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1F">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20">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21">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22">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23">
      <w:pPr>
        <w:pBdr>
          <w:top w:space="0" w:sz="0" w:val="nil"/>
          <w:left w:space="0" w:sz="0" w:val="nil"/>
          <w:bottom w:space="0" w:sz="0" w:val="nil"/>
          <w:right w:space="0" w:sz="0" w:val="nil"/>
          <w:between w:space="0" w:sz="0" w:val="nil"/>
        </w:pBdr>
        <w:shd w:fill="auto" w:val="clear"/>
        <w:ind w:left="0" w:firstLine="0"/>
        <w:jc w:val="center"/>
        <w:rPr/>
      </w:pP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25">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26">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27">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28">
      <w:pPr>
        <w:pBdr>
          <w:top w:space="0" w:sz="0" w:val="nil"/>
          <w:left w:space="0" w:sz="0" w:val="nil"/>
          <w:bottom w:space="0" w:sz="0" w:val="nil"/>
          <w:right w:space="0" w:sz="0" w:val="nil"/>
          <w:between w:space="0" w:sz="0" w:val="nil"/>
        </w:pBdr>
        <w:shd w:fill="auto" w:val="clear"/>
        <w:ind w:left="0" w:firstLine="0"/>
        <w:jc w:val="left"/>
        <w:rPr>
          <w:b w:val="1"/>
        </w:rPr>
      </w:pPr>
      <w:r w:rsidDel="00000000" w:rsidR="00000000" w:rsidRPr="00000000">
        <w:rPr>
          <w:rtl w:val="0"/>
        </w:rPr>
      </w:r>
    </w:p>
    <w:p w:rsidR="00000000" w:rsidDel="00000000" w:rsidP="00000000" w:rsidRDefault="00000000" w:rsidRPr="00000000" w14:paraId="00000029">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rtl w:val="0"/>
        </w:rPr>
      </w:r>
    </w:p>
    <w:p w:rsidR="00000000" w:rsidDel="00000000" w:rsidP="00000000" w:rsidRDefault="00000000" w:rsidRPr="00000000" w14:paraId="0000002A">
      <w:pPr>
        <w:pBdr>
          <w:top w:space="0" w:sz="0" w:val="nil"/>
          <w:left w:space="0" w:sz="0" w:val="nil"/>
          <w:bottom w:space="0" w:sz="0" w:val="nil"/>
          <w:right w:space="0" w:sz="0" w:val="nil"/>
          <w:between w:space="0" w:sz="0" w:val="nil"/>
        </w:pBdr>
        <w:shd w:fill="auto" w:val="clear"/>
        <w:ind w:left="0" w:firstLine="0"/>
        <w:jc w:val="center"/>
        <w:rPr>
          <w:b w:val="1"/>
        </w:rPr>
      </w:pPr>
      <w:r w:rsidDel="00000000" w:rsidR="00000000" w:rsidRPr="00000000">
        <w:rPr>
          <w:b w:val="1"/>
          <w:rtl w:val="0"/>
        </w:rPr>
        <w:t xml:space="preserve">References</w:t>
      </w:r>
    </w:p>
    <w:p w:rsidR="00000000" w:rsidDel="00000000" w:rsidP="00000000" w:rsidRDefault="00000000" w:rsidRPr="00000000" w14:paraId="0000002B">
      <w:pPr>
        <w:pBdr>
          <w:top w:space="0" w:sz="0" w:val="nil"/>
          <w:left w:space="0" w:sz="0" w:val="nil"/>
          <w:bottom w:space="0" w:sz="0" w:val="nil"/>
          <w:right w:space="0" w:sz="0" w:val="nil"/>
          <w:between w:space="0" w:sz="0" w:val="nil"/>
        </w:pBdr>
        <w:shd w:fill="auto" w:val="clear"/>
        <w:ind w:left="720"/>
        <w:rPr>
          <w:highlight w:val="white"/>
        </w:rPr>
      </w:pPr>
      <w:r w:rsidDel="00000000" w:rsidR="00000000" w:rsidRPr="00000000">
        <w:rPr>
          <w:highlight w:val="white"/>
          <w:rtl w:val="0"/>
        </w:rPr>
        <w:t xml:space="preserve">Halloween and the Sex Offender Myth: Part I. (2019, October 26). Retrieved from </w:t>
      </w:r>
      <w:hyperlink r:id="rId6">
        <w:r w:rsidDel="00000000" w:rsidR="00000000" w:rsidRPr="00000000">
          <w:rPr>
            <w:color w:val="0000ff"/>
            <w:highlight w:val="white"/>
            <w:u w:val="single"/>
            <w:rtl w:val="0"/>
          </w:rPr>
          <w:t xml:space="preserve">https://baltimorepostexaminer.com/halloween-and-the-sex-offender-myth-part-i/2019/10/18</w:t>
        </w:r>
      </w:hyperlink>
      <w:r w:rsidDel="00000000" w:rsidR="00000000" w:rsidRPr="00000000">
        <w:rPr>
          <w:color w:val="0000ff"/>
          <w:highlight w:val="white"/>
          <w:rtl w:val="0"/>
        </w:rPr>
        <w:t xml:space="preserve">.</w:t>
      </w:r>
      <w:r w:rsidDel="00000000" w:rsidR="00000000" w:rsidRPr="00000000">
        <w:rPr>
          <w:highlight w:val="white"/>
          <w:rtl w:val="0"/>
        </w:rPr>
        <w:t xml:space="preserve"> </w:t>
      </w:r>
      <w:r w:rsidDel="00000000" w:rsidR="00000000" w:rsidRPr="00000000">
        <w:rPr>
          <w:rtl w:val="0"/>
        </w:rPr>
      </w:r>
    </w:p>
    <w:p w:rsidR="00000000" w:rsidDel="00000000" w:rsidP="00000000" w:rsidRDefault="00000000" w:rsidRPr="00000000" w14:paraId="0000002C">
      <w:pPr>
        <w:pBdr>
          <w:top w:space="0" w:sz="0" w:val="nil"/>
          <w:left w:space="0" w:sz="0" w:val="nil"/>
          <w:bottom w:space="0" w:sz="0" w:val="nil"/>
          <w:right w:space="0" w:sz="0" w:val="nil"/>
          <w:between w:space="0" w:sz="0" w:val="nil"/>
        </w:pBdr>
        <w:shd w:fill="auto" w:val="clear"/>
        <w:ind w:left="720"/>
        <w:rPr>
          <w:color w:val="0000ff"/>
          <w:highlight w:val="white"/>
        </w:rPr>
      </w:pPr>
      <w:r w:rsidDel="00000000" w:rsidR="00000000" w:rsidRPr="00000000">
        <w:rPr>
          <w:highlight w:val="white"/>
          <w:rtl w:val="0"/>
        </w:rPr>
        <w:t xml:space="preserve">Halloween and the Sex Offender Myth: Part II. (2019, October 26). Retrieved from </w:t>
      </w:r>
      <w:hyperlink r:id="rId7">
        <w:r w:rsidDel="00000000" w:rsidR="00000000" w:rsidRPr="00000000">
          <w:rPr>
            <w:color w:val="0000ff"/>
            <w:highlight w:val="white"/>
            <w:u w:val="single"/>
            <w:rtl w:val="0"/>
          </w:rPr>
          <w:t xml:space="preserve">https://baltimorepostexaminer.com/halloween-and-the-sex-offender-myth-part-ii/2019/10/23</w:t>
        </w:r>
      </w:hyperlink>
      <w:r w:rsidDel="00000000" w:rsidR="00000000" w:rsidRPr="00000000">
        <w:rPr>
          <w:color w:val="0000ff"/>
          <w:highlight w:val="white"/>
          <w:rtl w:val="0"/>
        </w:rPr>
        <w:t xml:space="preserve">.</w:t>
      </w:r>
    </w:p>
    <w:p w:rsidR="00000000" w:rsidDel="00000000" w:rsidP="00000000" w:rsidRDefault="00000000" w:rsidRPr="00000000" w14:paraId="0000002D">
      <w:pPr>
        <w:pBdr>
          <w:top w:space="0" w:sz="0" w:val="nil"/>
          <w:left w:space="0" w:sz="0" w:val="nil"/>
          <w:bottom w:space="0" w:sz="0" w:val="nil"/>
          <w:right w:space="0" w:sz="0" w:val="nil"/>
          <w:between w:space="0" w:sz="0" w:val="nil"/>
        </w:pBdr>
        <w:shd w:fill="auto" w:val="clear"/>
        <w:ind w:left="720"/>
        <w:rPr>
          <w:highlight w:val="white"/>
        </w:rPr>
      </w:pPr>
      <w:r w:rsidDel="00000000" w:rsidR="00000000" w:rsidRPr="00000000">
        <w:rPr>
          <w:highlight w:val="white"/>
          <w:rtl w:val="0"/>
        </w:rPr>
        <w:t xml:space="preserve">Levenson, J. S., &amp; D'Amora, D. A. (2007). Social policies designed to prevent sexual violence: The Emperor's New Clothes? </w:t>
      </w:r>
      <w:r w:rsidDel="00000000" w:rsidR="00000000" w:rsidRPr="00000000">
        <w:rPr>
          <w:i w:val="1"/>
          <w:highlight w:val="white"/>
          <w:rtl w:val="0"/>
        </w:rPr>
        <w:t xml:space="preserve">Criminal Justice Policy Review, 18</w:t>
      </w:r>
      <w:r w:rsidDel="00000000" w:rsidR="00000000" w:rsidRPr="00000000">
        <w:rPr>
          <w:highlight w:val="white"/>
          <w:rtl w:val="0"/>
        </w:rPr>
        <w:t xml:space="preserve">(2), 168-199.</w:t>
      </w:r>
    </w:p>
    <w:p w:rsidR="00000000" w:rsidDel="00000000" w:rsidP="00000000" w:rsidRDefault="00000000" w:rsidRPr="00000000" w14:paraId="0000002E">
      <w:pPr>
        <w:spacing w:line="480" w:lineRule="auto"/>
        <w:ind w:left="0" w:firstLine="0"/>
        <w:jc w:val="both"/>
        <w:rPr>
          <w:highlight w:val="white"/>
        </w:rPr>
      </w:pPr>
      <w:r w:rsidDel="00000000" w:rsidR="00000000" w:rsidRPr="00000000">
        <w:rPr>
          <w:highlight w:val="white"/>
          <w:rtl w:val="0"/>
        </w:rPr>
        <w:t xml:space="preserve">Mercado, C. C., Alvarez, S., &amp; Levenson, J. S. (2008). The impact of specialized sex offender   </w:t>
      </w:r>
    </w:p>
    <w:p w:rsidR="00000000" w:rsidDel="00000000" w:rsidP="00000000" w:rsidRDefault="00000000" w:rsidRPr="00000000" w14:paraId="0000002F">
      <w:pPr>
        <w:spacing w:line="480" w:lineRule="auto"/>
        <w:ind w:left="0" w:firstLine="0"/>
        <w:jc w:val="both"/>
        <w:rPr>
          <w:i w:val="1"/>
          <w:highlight w:val="white"/>
        </w:rPr>
      </w:pPr>
      <w:r w:rsidDel="00000000" w:rsidR="00000000" w:rsidRPr="00000000">
        <w:rPr>
          <w:highlight w:val="white"/>
          <w:rtl w:val="0"/>
        </w:rPr>
        <w:t xml:space="preserve">        legislation on community re-entry. </w:t>
      </w:r>
      <w:r w:rsidDel="00000000" w:rsidR="00000000" w:rsidRPr="00000000">
        <w:rPr>
          <w:i w:val="1"/>
          <w:highlight w:val="white"/>
          <w:rtl w:val="0"/>
        </w:rPr>
        <w:t xml:space="preserve">Sexual Abuse: A Journal of Research &amp; Treatment,   </w:t>
      </w:r>
    </w:p>
    <w:p w:rsidR="00000000" w:rsidDel="00000000" w:rsidP="00000000" w:rsidRDefault="00000000" w:rsidRPr="00000000" w14:paraId="00000030">
      <w:pPr>
        <w:spacing w:line="480" w:lineRule="auto"/>
        <w:ind w:left="0" w:firstLine="0"/>
        <w:jc w:val="both"/>
        <w:rPr>
          <w:highlight w:val="white"/>
        </w:rPr>
      </w:pPr>
      <w:r w:rsidDel="00000000" w:rsidR="00000000" w:rsidRPr="00000000">
        <w:rPr>
          <w:i w:val="1"/>
          <w:highlight w:val="white"/>
          <w:rtl w:val="0"/>
        </w:rPr>
        <w:t xml:space="preserve">         20</w:t>
      </w:r>
      <w:r w:rsidDel="00000000" w:rsidR="00000000" w:rsidRPr="00000000">
        <w:rPr>
          <w:highlight w:val="white"/>
          <w:rtl w:val="0"/>
        </w:rPr>
        <w:t xml:space="preserve">(2), 188-205. </w:t>
      </w:r>
    </w:p>
    <w:p w:rsidR="00000000" w:rsidDel="00000000" w:rsidP="00000000" w:rsidRDefault="00000000" w:rsidRPr="00000000" w14:paraId="00000031">
      <w:pPr>
        <w:ind w:left="720"/>
        <w:rPr>
          <w:color w:val="0000ff"/>
          <w:highlight w:val="white"/>
        </w:rPr>
      </w:pPr>
      <w:r w:rsidDel="00000000" w:rsidR="00000000" w:rsidRPr="00000000">
        <w:rPr>
          <w:highlight w:val="white"/>
          <w:rtl w:val="0"/>
        </w:rPr>
        <w:t xml:space="preserve">National Association of Social Workers. (2017). NASW code of ethics. Retrieved October, 26, 2019, from </w:t>
      </w:r>
      <w:hyperlink r:id="rId8">
        <w:r w:rsidDel="00000000" w:rsidR="00000000" w:rsidRPr="00000000">
          <w:rPr>
            <w:color w:val="0000ff"/>
            <w:highlight w:val="white"/>
            <w:u w:val="single"/>
            <w:rtl w:val="0"/>
          </w:rPr>
          <w:t xml:space="preserve">https://www.socialworkers.org/About/Ethics/Code-of-Ethics/Code-of-Ethics-English</w:t>
        </w:r>
      </w:hyperlink>
      <w:r w:rsidDel="00000000" w:rsidR="00000000" w:rsidRPr="00000000">
        <w:rPr>
          <w:rtl w:val="0"/>
        </w:rPr>
      </w:r>
    </w:p>
    <w:p w:rsidR="00000000" w:rsidDel="00000000" w:rsidP="00000000" w:rsidRDefault="00000000" w:rsidRPr="00000000" w14:paraId="00000032">
      <w:pPr>
        <w:pBdr>
          <w:top w:space="0" w:sz="0" w:val="nil"/>
          <w:left w:space="0" w:sz="0" w:val="nil"/>
          <w:bottom w:space="0" w:sz="0" w:val="nil"/>
          <w:right w:space="0" w:sz="0" w:val="nil"/>
          <w:between w:space="0" w:sz="0" w:val="nil"/>
        </w:pBdr>
        <w:shd w:fill="auto" w:val="clear"/>
        <w:ind w:left="720"/>
        <w:rPr>
          <w:highlight w:val="white"/>
        </w:rPr>
      </w:pPr>
      <w:r w:rsidDel="00000000" w:rsidR="00000000" w:rsidRPr="00000000">
        <w:rPr>
          <w:highlight w:val="white"/>
          <w:rtl w:val="0"/>
        </w:rPr>
        <w:t xml:space="preserve">Read &amp; Study The Bible - Daily Verse, Scripture by Topic, Stories. (n.d.). Retrieved from </w:t>
      </w:r>
      <w:hyperlink r:id="rId9">
        <w:r w:rsidDel="00000000" w:rsidR="00000000" w:rsidRPr="00000000">
          <w:rPr>
            <w:color w:val="0000ff"/>
            <w:highlight w:val="white"/>
            <w:u w:val="single"/>
            <w:rtl w:val="0"/>
          </w:rPr>
          <w:t xml:space="preserve">https://www.biblestudytools.com/</w:t>
        </w:r>
      </w:hyperlink>
      <w:r w:rsidDel="00000000" w:rsidR="00000000" w:rsidRPr="00000000">
        <w:rPr>
          <w:highlight w:val="white"/>
          <w:rtl w:val="0"/>
        </w:rPr>
        <w:t xml:space="preserve">.</w:t>
      </w:r>
    </w:p>
    <w:p w:rsidR="00000000" w:rsidDel="00000000" w:rsidP="00000000" w:rsidRDefault="00000000" w:rsidRPr="00000000" w14:paraId="00000033">
      <w:pPr>
        <w:pBdr>
          <w:top w:space="0" w:sz="0" w:val="nil"/>
          <w:left w:space="0" w:sz="0" w:val="nil"/>
          <w:bottom w:space="0" w:sz="0" w:val="nil"/>
          <w:right w:space="0" w:sz="0" w:val="nil"/>
          <w:between w:space="0" w:sz="0" w:val="nil"/>
        </w:pBdr>
        <w:shd w:fill="auto" w:val="clear"/>
        <w:ind w:left="720"/>
        <w:rPr>
          <w:highlight w:val="white"/>
        </w:rPr>
      </w:pPr>
      <w:r w:rsidDel="00000000" w:rsidR="00000000" w:rsidRPr="00000000">
        <w:rPr>
          <w:highlight w:val="white"/>
          <w:rtl w:val="0"/>
        </w:rPr>
        <w:t xml:space="preserve">Tewksbury, R., &amp; Mustaine, E. (2009). Stress and collateral consequences for registered sex offenders. </w:t>
      </w:r>
      <w:r w:rsidDel="00000000" w:rsidR="00000000" w:rsidRPr="00000000">
        <w:rPr>
          <w:i w:val="1"/>
          <w:highlight w:val="white"/>
          <w:rtl w:val="0"/>
        </w:rPr>
        <w:t xml:space="preserve">Journal of Public Management and Social Policy, Fall</w:t>
      </w:r>
      <w:r w:rsidDel="00000000" w:rsidR="00000000" w:rsidRPr="00000000">
        <w:rPr>
          <w:highlight w:val="white"/>
          <w:rtl w:val="0"/>
        </w:rPr>
        <w:t xml:space="preserve">, 215-239.</w:t>
      </w:r>
    </w:p>
    <w:p w:rsidR="00000000" w:rsidDel="00000000" w:rsidP="00000000" w:rsidRDefault="00000000" w:rsidRPr="00000000" w14:paraId="00000034">
      <w:pPr>
        <w:pBdr>
          <w:top w:space="0" w:sz="0" w:val="nil"/>
          <w:left w:space="0" w:sz="0" w:val="nil"/>
          <w:bottom w:space="0" w:sz="0" w:val="nil"/>
          <w:right w:space="0" w:sz="0" w:val="nil"/>
          <w:between w:space="0" w:sz="0" w:val="nil"/>
        </w:pBdr>
        <w:shd w:fill="auto" w:val="clear"/>
        <w:ind w:left="720"/>
        <w:rPr/>
      </w:pPr>
      <w:r w:rsidDel="00000000" w:rsidR="00000000" w:rsidRPr="00000000">
        <w:rPr>
          <w:highlight w:val="white"/>
          <w:rtl w:val="0"/>
        </w:rPr>
        <w:t xml:space="preserve">US Legal, Inc. (n.d.). Sex Offender Law and Legal Definition. Retrieved from </w:t>
      </w:r>
      <w:r w:rsidDel="00000000" w:rsidR="00000000" w:rsidRPr="00000000">
        <w:rPr>
          <w:color w:val="0000ff"/>
          <w:highlight w:val="white"/>
          <w:rtl w:val="0"/>
        </w:rPr>
        <w:t xml:space="preserve">https://definitions.uslegal.com/s/sex-offender/</w:t>
      </w:r>
      <w:r w:rsidDel="00000000" w:rsidR="00000000" w:rsidRPr="00000000">
        <w:rPr>
          <w:highlight w:val="white"/>
          <w:rtl w:val="0"/>
        </w:rPr>
        <w:t xml:space="preserve">.</w:t>
      </w:r>
      <w:r w:rsidDel="00000000" w:rsidR="00000000" w:rsidRPr="00000000">
        <w:rPr>
          <w:rtl w:val="0"/>
        </w:rPr>
      </w:r>
    </w:p>
    <w:sectPr>
      <w:headerReference r:id="rId10" w:type="default"/>
      <w:headerReference r:id="rId11" w:type="first"/>
      <w:pgSz w:h="15840" w:w="12240"/>
      <w:pgMar w:bottom="1440" w:top="1440" w:left="1440" w:right="1440" w:header="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Trebuchet M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pBdr>
        <w:top w:space="0" w:sz="0" w:val="nil"/>
        <w:left w:space="0" w:sz="0" w:val="nil"/>
        <w:bottom w:space="0" w:sz="0" w:val="nil"/>
        <w:right w:space="0" w:sz="0" w:val="nil"/>
        <w:between w:space="0" w:sz="0" w:val="nil"/>
      </w:pBdr>
      <w:shd w:fill="auto" w:val="clear"/>
      <w:spacing w:before="960" w:lineRule="auto"/>
      <w:jc w:val="left"/>
      <w:rPr/>
    </w:pPr>
    <w:r w:rsidDel="00000000" w:rsidR="00000000" w:rsidRPr="00000000">
      <w:rPr>
        <w:rtl w:val="0"/>
      </w:rPr>
      <w:t xml:space="preserve">Integrative Paper </w:t>
      <w:tab/>
      <w:tab/>
      <w:tab/>
      <w:tab/>
      <w:tab/>
      <w:tab/>
      <w:tab/>
      <w:tab/>
      <w:tab/>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6">
    <w:pPr>
      <w:pBdr>
        <w:top w:space="0" w:sz="0" w:val="nil"/>
        <w:left w:space="0" w:sz="0" w:val="nil"/>
        <w:bottom w:space="0" w:sz="0" w:val="nil"/>
        <w:right w:space="0" w:sz="0" w:val="nil"/>
        <w:between w:space="0" w:sz="0" w:val="nil"/>
      </w:pBdr>
      <w:shd w:fill="auto" w:val="clear"/>
      <w:spacing w:before="960" w:lineRule="auto"/>
      <w:jc w:val="left"/>
      <w:rPr/>
    </w:pPr>
    <w:r w:rsidDel="00000000" w:rsidR="00000000" w:rsidRPr="00000000">
      <w:rPr>
        <w:rtl w:val="0"/>
      </w:rPr>
      <w:t xml:space="preserve">Integrative Paper </w:t>
      <w:tab/>
      <w:tab/>
      <w:tab/>
      <w:tab/>
      <w:tab/>
      <w:tab/>
      <w:tab/>
      <w:tab/>
      <w:tab/>
      <w:t xml:space="preserve">           </w:t>
      <w:tab/>
    </w: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color w:val="1c1e29"/>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
      </w:rPr>
    </w:rPrDefault>
    <w:pPrDefault>
      <w:pPr>
        <w:spacing w:line="4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jc w:val="center"/>
    </w:pPr>
    <w:rPr>
      <w:b w:val="1"/>
    </w:rPr>
  </w:style>
  <w:style w:type="paragraph" w:styleId="Heading2">
    <w:name w:val="heading 2"/>
    <w:basedOn w:val="Normal"/>
    <w:next w:val="Normal"/>
    <w:pPr>
      <w:keepNext w:val="1"/>
      <w:keepLines w:val="1"/>
    </w:pPr>
    <w:rPr>
      <w:b w:val="1"/>
    </w:rPr>
  </w:style>
  <w:style w:type="paragraph" w:styleId="Heading3">
    <w:name w:val="heading 3"/>
    <w:basedOn w:val="Normal"/>
    <w:next w:val="Normal"/>
    <w:pPr>
      <w:keepNext w:val="1"/>
      <w:keepLines w:val="1"/>
      <w:ind w:firstLine="720"/>
    </w:pPr>
    <w:rPr>
      <w:b w:val="1"/>
    </w:rPr>
  </w:style>
  <w:style w:type="paragraph" w:styleId="Heading4">
    <w:name w:val="heading 4"/>
    <w:basedOn w:val="Normal"/>
    <w:next w:val="Normal"/>
    <w:pPr>
      <w:keepNext w:val="1"/>
      <w:keepLines w:val="1"/>
      <w:ind w:firstLine="720"/>
    </w:pPr>
    <w:rPr>
      <w:b w:val="1"/>
      <w:i w:val="1"/>
    </w:rPr>
  </w:style>
  <w:style w:type="paragraph" w:styleId="Heading5">
    <w:name w:val="heading 5"/>
    <w:basedOn w:val="Normal"/>
    <w:next w:val="Normal"/>
    <w:pPr>
      <w:keepNext w:val="1"/>
      <w:keepLines w:val="1"/>
    </w:pPr>
    <w:rPr>
      <w:i w:val="1"/>
    </w:rPr>
  </w:style>
  <w:style w:type="paragraph" w:styleId="Heading6">
    <w:name w:val="heading 6"/>
    <w:basedOn w:val="Normal"/>
    <w:next w:val="Normal"/>
    <w:pPr>
      <w:keepNext w:val="1"/>
      <w:keepLines w:val="1"/>
      <w:spacing w:after="0" w:before="160" w:lineRule="auto"/>
    </w:pPr>
    <w:rPr>
      <w:rFonts w:ascii="Trebuchet MS" w:cs="Trebuchet MS" w:eastAsia="Trebuchet MS" w:hAnsi="Trebuchet MS"/>
      <w:i w:val="1"/>
      <w:color w:val="666666"/>
      <w:sz w:val="22"/>
      <w:szCs w:val="22"/>
    </w:rPr>
  </w:style>
  <w:style w:type="paragraph" w:styleId="Title">
    <w:name w:val="Title"/>
    <w:basedOn w:val="Normal"/>
    <w:next w:val="Normal"/>
    <w:pPr>
      <w:keepNext w:val="1"/>
      <w:keepLines w:val="1"/>
      <w:spacing w:before="2160" w:lineRule="auto"/>
      <w:jc w:val="center"/>
    </w:pPr>
    <w:rPr/>
  </w:style>
  <w:style w:type="paragraph" w:styleId="Subtitle">
    <w:name w:val="Subtitle"/>
    <w:basedOn w:val="Normal"/>
    <w:next w:val="Normal"/>
    <w:pPr>
      <w:keepNext w:val="1"/>
      <w:keepLines w:val="1"/>
      <w:jc w:val="center"/>
    </w:pPr>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2.xml"/><Relationship Id="rId10" Type="http://schemas.openxmlformats.org/officeDocument/2006/relationships/header" Target="header1.xml"/><Relationship Id="rId9" Type="http://schemas.openxmlformats.org/officeDocument/2006/relationships/hyperlink" Target="https://www.biblestudytools.com/" TargetMode="External"/><Relationship Id="rId5" Type="http://schemas.openxmlformats.org/officeDocument/2006/relationships/styles" Target="styles.xml"/><Relationship Id="rId6" Type="http://schemas.openxmlformats.org/officeDocument/2006/relationships/hyperlink" Target="https://baltimorepostexaminer.com/halloween-and-the-sex-offender-myth-part-i/2019/10/18" TargetMode="External"/><Relationship Id="rId7" Type="http://schemas.openxmlformats.org/officeDocument/2006/relationships/hyperlink" Target="https://baltimorepostexaminer.com/halloween-and-the-sex-offender-myth-part-ii/2019/10/23" TargetMode="External"/><Relationship Id="rId8" Type="http://schemas.openxmlformats.org/officeDocument/2006/relationships/hyperlink" Target="https://www.socialworkers.org/About/Ethics/Code-of-Ethics/Code-of-Ethics-Englis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