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06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48"/>
        <w:gridCol w:w="720"/>
        <w:gridCol w:w="5040"/>
        <w:gridCol w:w="5760"/>
        <w:tblGridChange w:id="0">
          <w:tblGrid>
            <w:gridCol w:w="1548"/>
            <w:gridCol w:w="720"/>
            <w:gridCol w:w="5040"/>
            <w:gridCol w:w="5760"/>
          </w:tblGrid>
        </w:tblGridChange>
      </w:tblGrid>
      <w:tr>
        <w:tc>
          <w:tcPr>
            <w:gridSpan w:val="4"/>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2">
            <w:pPr>
              <w:jc w:val="center"/>
              <w:rPr>
                <w:b w:val="0"/>
                <w:smallCaps w:val="0"/>
                <w:sz w:val="28"/>
                <w:szCs w:val="28"/>
                <w:vertAlign w:val="baseline"/>
              </w:rPr>
            </w:pPr>
            <w:r w:rsidDel="00000000" w:rsidR="00000000" w:rsidRPr="00000000">
              <w:rPr>
                <w:b w:val="1"/>
                <w:smallCaps w:val="1"/>
                <w:sz w:val="28"/>
                <w:szCs w:val="28"/>
                <w:vertAlign w:val="baseline"/>
                <w:rtl w:val="0"/>
              </w:rPr>
              <w:t xml:space="preserve">Reading Summary and Reflective Comments Form &amp; Instructions</w:t>
            </w:r>
            <w:r w:rsidDel="00000000" w:rsidR="00000000" w:rsidRPr="00000000">
              <w:rPr>
                <w:rtl w:val="0"/>
              </w:rPr>
            </w:r>
          </w:p>
          <w:p w:rsidR="00000000" w:rsidDel="00000000" w:rsidP="00000000" w:rsidRDefault="00000000" w:rsidRPr="00000000" w14:paraId="00000003">
            <w:pPr>
              <w:jc w:val="center"/>
              <w:rPr>
                <w:b w:val="0"/>
                <w:smallCaps w:val="0"/>
                <w:vertAlign w:val="baseline"/>
              </w:rPr>
            </w:pPr>
            <w:r w:rsidDel="00000000" w:rsidR="00000000" w:rsidRPr="00000000">
              <w:rPr>
                <w:rtl w:val="0"/>
              </w:rPr>
            </w:r>
          </w:p>
        </w:tc>
      </w:tr>
      <w:tr>
        <w:tc>
          <w:tcPr>
            <w:gridSpan w:val="4"/>
            <w:tcBorders>
              <w:top w:color="000000" w:space="0" w:sz="0" w:val="nil"/>
              <w:left w:color="000000" w:space="0" w:sz="0" w:val="nil"/>
              <w:right w:color="000000" w:space="0" w:sz="0" w:val="nil"/>
            </w:tcBorders>
            <w:vAlign w:val="top"/>
          </w:tcPr>
          <w:p w:rsidR="00000000" w:rsidDel="00000000" w:rsidP="00000000" w:rsidRDefault="00000000" w:rsidRPr="00000000" w14:paraId="00000007">
            <w:pPr>
              <w:rPr>
                <w:vertAlign w:val="baseline"/>
              </w:rPr>
            </w:pPr>
            <w:r w:rsidDel="00000000" w:rsidR="00000000" w:rsidRPr="00000000">
              <w:rPr>
                <w:vertAlign w:val="baseline"/>
                <w:rtl w:val="0"/>
              </w:rPr>
              <w:t xml:space="preserve">For each assigned reading, summarize the main principles and reflect on these principles in order to make the content meaningful to you.  This will ensure that you understand the reading and understand its relationship to daily life experiences within your educational setting or work environment.  The reflective comments may draw on previous experiences or future plans to use the information from the reading.  Reading summaries will be 1</w:t>
            </w:r>
            <w:r w:rsidDel="00000000" w:rsidR="00000000" w:rsidRPr="00000000">
              <w:rPr>
                <w:rtl w:val="0"/>
              </w:rPr>
              <w:t xml:space="preserve">5</w:t>
            </w:r>
            <w:r w:rsidDel="00000000" w:rsidR="00000000" w:rsidRPr="00000000">
              <w:rPr>
                <w:vertAlign w:val="baseline"/>
                <w:rtl w:val="0"/>
              </w:rPr>
              <w:t xml:space="preserve">0-1</w:t>
            </w:r>
            <w:r w:rsidDel="00000000" w:rsidR="00000000" w:rsidRPr="00000000">
              <w:rPr>
                <w:rtl w:val="0"/>
              </w:rPr>
              <w:t xml:space="preserve">7</w:t>
            </w:r>
            <w:r w:rsidDel="00000000" w:rsidR="00000000" w:rsidRPr="00000000">
              <w:rPr>
                <w:vertAlign w:val="baseline"/>
                <w:rtl w:val="0"/>
              </w:rPr>
              <w:t xml:space="preserve">5 words and will be in paragraph form, and the reflective comments will be 1</w:t>
            </w:r>
            <w:r w:rsidDel="00000000" w:rsidR="00000000" w:rsidRPr="00000000">
              <w:rPr>
                <w:rtl w:val="0"/>
              </w:rPr>
              <w:t xml:space="preserve">0</w:t>
            </w:r>
            <w:r w:rsidDel="00000000" w:rsidR="00000000" w:rsidRPr="00000000">
              <w:rPr>
                <w:vertAlign w:val="baseline"/>
                <w:rtl w:val="0"/>
              </w:rPr>
              <w:t xml:space="preserve">0-200 words.  (Submit the Reading Summary and Reflective Comments by 11:59 p.m. (ET) on Sunday in Modules/Weeks 1, 3, and 5, and adding the new entries each time.)</w:t>
            </w:r>
          </w:p>
          <w:p w:rsidR="00000000" w:rsidDel="00000000" w:rsidP="00000000" w:rsidRDefault="00000000" w:rsidRPr="00000000" w14:paraId="00000008">
            <w:pPr>
              <w:rPr>
                <w:i w:val="0"/>
                <w:vertAlign w:val="baseline"/>
              </w:rPr>
            </w:pPr>
            <w:r w:rsidDel="00000000" w:rsidR="00000000" w:rsidRPr="00000000">
              <w:rPr>
                <w:rtl w:val="0"/>
              </w:rPr>
            </w:r>
          </w:p>
        </w:tc>
      </w:tr>
      <w:tr>
        <w:tc>
          <w:tcPr>
            <w:gridSpan w:val="2"/>
            <w:vAlign w:val="center"/>
          </w:tcPr>
          <w:p w:rsidR="00000000" w:rsidDel="00000000" w:rsidP="00000000" w:rsidRDefault="00000000" w:rsidRPr="00000000" w14:paraId="0000000C">
            <w:pPr>
              <w:jc w:val="center"/>
              <w:rPr>
                <w:b w:val="0"/>
                <w:vertAlign w:val="baseline"/>
              </w:rPr>
            </w:pPr>
            <w:r w:rsidDel="00000000" w:rsidR="00000000" w:rsidRPr="00000000">
              <w:rPr>
                <w:b w:val="1"/>
                <w:vertAlign w:val="baseline"/>
                <w:rtl w:val="0"/>
              </w:rPr>
              <w:t xml:space="preserve">STUDENT NAME:</w:t>
            </w:r>
            <w:r w:rsidDel="00000000" w:rsidR="00000000" w:rsidRPr="00000000">
              <w:rPr>
                <w:rtl w:val="0"/>
              </w:rPr>
            </w:r>
          </w:p>
        </w:tc>
        <w:tc>
          <w:tcPr>
            <w:gridSpan w:val="2"/>
            <w:vAlign w:val="center"/>
          </w:tcPr>
          <w:p w:rsidR="00000000" w:rsidDel="00000000" w:rsidP="00000000" w:rsidRDefault="00000000" w:rsidRPr="00000000" w14:paraId="0000000E">
            <w:pPr>
              <w:jc w:val="center"/>
              <w:rPr>
                <w:vertAlign w:val="baseline"/>
              </w:rPr>
            </w:pPr>
            <w:r w:rsidDel="00000000" w:rsidR="00000000" w:rsidRPr="00000000">
              <w:rPr>
                <w:rtl w:val="0"/>
              </w:rPr>
            </w:r>
          </w:p>
        </w:tc>
      </w:tr>
      <w:tr>
        <w:tc>
          <w:tcPr>
            <w:vAlign w:val="center"/>
          </w:tcPr>
          <w:p w:rsidR="00000000" w:rsidDel="00000000" w:rsidP="00000000" w:rsidRDefault="00000000" w:rsidRPr="00000000" w14:paraId="00000010">
            <w:pPr>
              <w:jc w:val="center"/>
              <w:rPr>
                <w:b w:val="0"/>
                <w:vertAlign w:val="baseline"/>
              </w:rPr>
            </w:pPr>
            <w:r w:rsidDel="00000000" w:rsidR="00000000" w:rsidRPr="00000000">
              <w:rPr>
                <w:b w:val="1"/>
                <w:vertAlign w:val="baseline"/>
                <w:rtl w:val="0"/>
              </w:rPr>
              <w:t xml:space="preserve">Reading</w:t>
            </w:r>
            <w:r w:rsidDel="00000000" w:rsidR="00000000" w:rsidRPr="00000000">
              <w:rPr>
                <w:rtl w:val="0"/>
              </w:rPr>
            </w:r>
          </w:p>
          <w:p w:rsidR="00000000" w:rsidDel="00000000" w:rsidP="00000000" w:rsidRDefault="00000000" w:rsidRPr="00000000" w14:paraId="00000011">
            <w:pPr>
              <w:jc w:val="center"/>
              <w:rPr>
                <w:b w:val="0"/>
                <w:vertAlign w:val="baseline"/>
              </w:rPr>
            </w:pPr>
            <w:r w:rsidDel="00000000" w:rsidR="00000000" w:rsidRPr="00000000">
              <w:rPr>
                <w:b w:val="1"/>
                <w:vertAlign w:val="baseline"/>
                <w:rtl w:val="0"/>
              </w:rPr>
              <w:t xml:space="preserve">Assignment</w:t>
            </w:r>
            <w:r w:rsidDel="00000000" w:rsidR="00000000" w:rsidRPr="00000000">
              <w:rPr>
                <w:rtl w:val="0"/>
              </w:rPr>
            </w:r>
          </w:p>
        </w:tc>
        <w:tc>
          <w:tcPr>
            <w:gridSpan w:val="2"/>
            <w:vAlign w:val="center"/>
          </w:tcPr>
          <w:p w:rsidR="00000000" w:rsidDel="00000000" w:rsidP="00000000" w:rsidRDefault="00000000" w:rsidRPr="00000000" w14:paraId="00000012">
            <w:pPr>
              <w:jc w:val="center"/>
              <w:rPr>
                <w:b w:val="0"/>
                <w:vertAlign w:val="baseline"/>
              </w:rPr>
            </w:pPr>
            <w:r w:rsidDel="00000000" w:rsidR="00000000" w:rsidRPr="00000000">
              <w:rPr>
                <w:b w:val="1"/>
                <w:vertAlign w:val="baseline"/>
                <w:rtl w:val="0"/>
              </w:rPr>
              <w:t xml:space="preserve">Reading Summary (Main Principles)</w:t>
            </w:r>
            <w:r w:rsidDel="00000000" w:rsidR="00000000" w:rsidRPr="00000000">
              <w:rPr>
                <w:rtl w:val="0"/>
              </w:rPr>
            </w:r>
          </w:p>
        </w:tc>
        <w:tc>
          <w:tcPr>
            <w:vAlign w:val="center"/>
          </w:tcPr>
          <w:p w:rsidR="00000000" w:rsidDel="00000000" w:rsidP="00000000" w:rsidRDefault="00000000" w:rsidRPr="00000000" w14:paraId="00000014">
            <w:pPr>
              <w:jc w:val="center"/>
              <w:rPr>
                <w:b w:val="0"/>
                <w:vertAlign w:val="baseline"/>
              </w:rPr>
            </w:pPr>
            <w:r w:rsidDel="00000000" w:rsidR="00000000" w:rsidRPr="00000000">
              <w:rPr>
                <w:b w:val="1"/>
                <w:vertAlign w:val="baseline"/>
                <w:rtl w:val="0"/>
              </w:rPr>
              <w:t xml:space="preserve">Reflective Comments</w:t>
            </w:r>
            <w:r w:rsidDel="00000000" w:rsidR="00000000" w:rsidRPr="00000000">
              <w:rPr>
                <w:rtl w:val="0"/>
              </w:rPr>
            </w:r>
          </w:p>
        </w:tc>
      </w:tr>
      <w:tr>
        <w:tc>
          <w:tcPr>
            <w:gridSpan w:val="4"/>
            <w:vAlign w:val="center"/>
          </w:tcPr>
          <w:p w:rsidR="00000000" w:rsidDel="00000000" w:rsidP="00000000" w:rsidRDefault="00000000" w:rsidRPr="00000000" w14:paraId="00000015">
            <w:pPr>
              <w:ind w:left="720"/>
              <w:jc w:val="center"/>
              <w:rPr>
                <w:b w:val="0"/>
                <w:vertAlign w:val="baseline"/>
              </w:rPr>
            </w:pPr>
            <w:r w:rsidDel="00000000" w:rsidR="00000000" w:rsidRPr="00000000">
              <w:rPr>
                <w:b w:val="1"/>
                <w:vertAlign w:val="baseline"/>
                <w:rtl w:val="0"/>
              </w:rPr>
              <w:t xml:space="preserve">Reading Summary and Reflective Comments 1- Week 1</w:t>
            </w:r>
            <w:r w:rsidDel="00000000" w:rsidR="00000000" w:rsidRPr="00000000">
              <w:rPr>
                <w:rtl w:val="0"/>
              </w:rPr>
            </w:r>
          </w:p>
        </w:tc>
      </w:tr>
      <w:tr>
        <w:trPr>
          <w:trHeight w:val="1080" w:hRule="atLeast"/>
        </w:trPr>
        <w:tc>
          <w:tcPr>
            <w:vAlign w:val="center"/>
          </w:tcPr>
          <w:p w:rsidR="00000000" w:rsidDel="00000000" w:rsidP="00000000" w:rsidRDefault="00000000" w:rsidRPr="00000000" w14:paraId="00000019">
            <w:pPr>
              <w:jc w:val="center"/>
              <w:rPr>
                <w:b w:val="1"/>
              </w:rPr>
            </w:pPr>
            <w:r w:rsidDel="00000000" w:rsidR="00000000" w:rsidRPr="00000000">
              <w:rPr>
                <w:b w:val="1"/>
                <w:rtl w:val="0"/>
              </w:rPr>
              <w:t xml:space="preserve">Tanner and Raymond</w:t>
            </w:r>
          </w:p>
          <w:p w:rsidR="00000000" w:rsidDel="00000000" w:rsidP="00000000" w:rsidRDefault="00000000" w:rsidRPr="00000000" w14:paraId="0000001A">
            <w:pPr>
              <w:jc w:val="left"/>
              <w:rPr>
                <w:b w:val="1"/>
              </w:rPr>
            </w:pPr>
            <w:r w:rsidDel="00000000" w:rsidR="00000000" w:rsidRPr="00000000">
              <w:rPr>
                <w:b w:val="1"/>
                <w:rtl w:val="0"/>
              </w:rPr>
              <w:t xml:space="preserve">Ch. 1 &amp; 2</w:t>
            </w:r>
          </w:p>
          <w:p w:rsidR="00000000" w:rsidDel="00000000" w:rsidP="00000000" w:rsidRDefault="00000000" w:rsidRPr="00000000" w14:paraId="0000001B">
            <w:pPr>
              <w:jc w:val="center"/>
              <w:rPr>
                <w:b w:val="0"/>
                <w:vertAlign w:val="baseline"/>
              </w:rPr>
            </w:pPr>
            <w:r w:rsidDel="00000000" w:rsidR="00000000" w:rsidRPr="00000000">
              <w:rPr>
                <w:rtl w:val="0"/>
              </w:rPr>
            </w:r>
          </w:p>
        </w:tc>
        <w:tc>
          <w:tcPr>
            <w:gridSpan w:val="2"/>
            <w:vAlign w:val="center"/>
          </w:tcPr>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240" w:before="240" w:line="240" w:lineRule="auto"/>
              <w:rPr>
                <w:rFonts w:ascii="Lato" w:cs="Lato" w:eastAsia="Lato" w:hAnsi="Lato"/>
                <w:color w:val="393737"/>
                <w:sz w:val="21"/>
                <w:szCs w:val="21"/>
              </w:rPr>
            </w:pPr>
            <w:r w:rsidDel="00000000" w:rsidR="00000000" w:rsidRPr="00000000">
              <w:rPr>
                <w:rFonts w:ascii="Lato" w:cs="Lato" w:eastAsia="Lato" w:hAnsi="Lato"/>
                <w:color w:val="393737"/>
                <w:sz w:val="21"/>
                <w:szCs w:val="21"/>
                <w:rtl w:val="0"/>
              </w:rPr>
              <w:t xml:space="preserve">Marketing is the providing of goods/services which are of value to those who receive them. Involved in this process are those individuals/entities who:</w:t>
            </w:r>
          </w:p>
          <w:p w:rsidR="00000000" w:rsidDel="00000000" w:rsidP="00000000" w:rsidRDefault="00000000" w:rsidRPr="00000000" w14:paraId="0000001D">
            <w:pPr>
              <w:numPr>
                <w:ilvl w:val="0"/>
                <w:numId w:val="2"/>
              </w:numPr>
              <w:pBdr>
                <w:top w:color="auto" w:space="0" w:sz="0" w:val="none"/>
                <w:left w:color="auto" w:space="0" w:sz="0" w:val="none"/>
                <w:bottom w:color="auto" w:space="0" w:sz="0" w:val="none"/>
                <w:right w:color="auto" w:space="0" w:sz="0" w:val="none"/>
                <w:between w:color="auto" w:space="0" w:sz="0" w:val="none"/>
              </w:pBdr>
              <w:spacing w:after="0" w:afterAutospacing="0" w:before="240" w:line="240" w:lineRule="auto"/>
              <w:ind w:left="720" w:hanging="360"/>
              <w:rPr>
                <w:rFonts w:ascii="Lato" w:cs="Lato" w:eastAsia="Lato" w:hAnsi="Lato"/>
                <w:color w:val="393737"/>
                <w:sz w:val="21"/>
                <w:szCs w:val="21"/>
                <w:u w:val="none"/>
              </w:rPr>
            </w:pPr>
            <w:r w:rsidDel="00000000" w:rsidR="00000000" w:rsidRPr="00000000">
              <w:rPr>
                <w:rFonts w:ascii="Lato" w:cs="Lato" w:eastAsia="Lato" w:hAnsi="Lato"/>
                <w:color w:val="393737"/>
                <w:sz w:val="21"/>
                <w:szCs w:val="21"/>
                <w:rtl w:val="0"/>
              </w:rPr>
              <w:t xml:space="preserve">create the thing of value (suppliers, designers, collaborators, clients, etc)</w:t>
            </w:r>
          </w:p>
          <w:p w:rsidR="00000000" w:rsidDel="00000000" w:rsidP="00000000" w:rsidRDefault="00000000" w:rsidRPr="00000000" w14:paraId="0000001E">
            <w:pPr>
              <w:numPr>
                <w:ilvl w:val="0"/>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40" w:lineRule="auto"/>
              <w:ind w:left="720" w:hanging="360"/>
              <w:rPr>
                <w:rFonts w:ascii="Lato" w:cs="Lato" w:eastAsia="Lato" w:hAnsi="Lato"/>
                <w:color w:val="393737"/>
                <w:sz w:val="21"/>
                <w:szCs w:val="21"/>
                <w:u w:val="none"/>
              </w:rPr>
            </w:pPr>
            <w:r w:rsidDel="00000000" w:rsidR="00000000" w:rsidRPr="00000000">
              <w:rPr>
                <w:rFonts w:ascii="Lato" w:cs="Lato" w:eastAsia="Lato" w:hAnsi="Lato"/>
                <w:color w:val="393737"/>
                <w:sz w:val="21"/>
                <w:szCs w:val="21"/>
                <w:rtl w:val="0"/>
              </w:rPr>
              <w:t xml:space="preserve">communicate about the thing of value; to discover what would be valued and also to describe that which is offered</w:t>
            </w:r>
          </w:p>
          <w:p w:rsidR="00000000" w:rsidDel="00000000" w:rsidP="00000000" w:rsidRDefault="00000000" w:rsidRPr="00000000" w14:paraId="0000001F">
            <w:pPr>
              <w:numPr>
                <w:ilvl w:val="0"/>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40" w:lineRule="auto"/>
              <w:ind w:left="720" w:hanging="360"/>
              <w:rPr>
                <w:rFonts w:ascii="Lato" w:cs="Lato" w:eastAsia="Lato" w:hAnsi="Lato"/>
                <w:color w:val="393737"/>
                <w:sz w:val="21"/>
                <w:szCs w:val="21"/>
                <w:u w:val="none"/>
              </w:rPr>
            </w:pPr>
            <w:r w:rsidDel="00000000" w:rsidR="00000000" w:rsidRPr="00000000">
              <w:rPr>
                <w:rFonts w:ascii="Lato" w:cs="Lato" w:eastAsia="Lato" w:hAnsi="Lato"/>
                <w:color w:val="393737"/>
                <w:sz w:val="21"/>
                <w:szCs w:val="21"/>
                <w:rtl w:val="0"/>
              </w:rPr>
              <w:t xml:space="preserve">deliver the thing of value; not just to a place, but delivering to the recipient the best understanding of it for the best experience/use (customer experience)</w:t>
            </w:r>
          </w:p>
          <w:p w:rsidR="00000000" w:rsidDel="00000000" w:rsidP="00000000" w:rsidRDefault="00000000" w:rsidRPr="00000000" w14:paraId="00000020">
            <w:pPr>
              <w:numPr>
                <w:ilvl w:val="0"/>
                <w:numId w:val="2"/>
              </w:numPr>
              <w:pBdr>
                <w:top w:color="auto" w:space="0" w:sz="0" w:val="none"/>
                <w:left w:color="auto" w:space="0" w:sz="0" w:val="none"/>
                <w:bottom w:color="auto" w:space="0" w:sz="0" w:val="none"/>
                <w:right w:color="auto" w:space="0" w:sz="0" w:val="none"/>
                <w:between w:color="auto" w:space="0" w:sz="0" w:val="none"/>
              </w:pBdr>
              <w:spacing w:after="240" w:before="0" w:beforeAutospacing="0" w:line="240" w:lineRule="auto"/>
              <w:ind w:left="720" w:hanging="360"/>
              <w:rPr>
                <w:rFonts w:ascii="Lato" w:cs="Lato" w:eastAsia="Lato" w:hAnsi="Lato"/>
                <w:color w:val="393737"/>
                <w:sz w:val="21"/>
                <w:szCs w:val="21"/>
                <w:u w:val="none"/>
              </w:rPr>
            </w:pPr>
            <w:r w:rsidDel="00000000" w:rsidR="00000000" w:rsidRPr="00000000">
              <w:rPr>
                <w:rFonts w:ascii="Lato" w:cs="Lato" w:eastAsia="Lato" w:hAnsi="Lato"/>
                <w:color w:val="393737"/>
                <w:sz w:val="21"/>
                <w:szCs w:val="21"/>
                <w:rtl w:val="0"/>
              </w:rPr>
              <w:t xml:space="preserve">exchange the thing of value for a price that affirms its worth to the recipient and creates profit for the creator</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240" w:before="240" w:line="240" w:lineRule="auto"/>
              <w:rPr>
                <w:rFonts w:ascii="Lato" w:cs="Lato" w:eastAsia="Lato" w:hAnsi="Lato"/>
                <w:color w:val="393737"/>
                <w:sz w:val="21"/>
                <w:szCs w:val="21"/>
              </w:rPr>
            </w:pPr>
            <w:r w:rsidDel="00000000" w:rsidR="00000000" w:rsidRPr="00000000">
              <w:rPr>
                <w:rFonts w:ascii="Lato" w:cs="Lato" w:eastAsia="Lato" w:hAnsi="Lato"/>
                <w:color w:val="393737"/>
                <w:sz w:val="21"/>
                <w:szCs w:val="21"/>
                <w:rtl w:val="0"/>
              </w:rPr>
              <w:t xml:space="preserve">Everyone engages in marketing. The for-profit to make money from their contribution of value, the non-profit for the fulfillment of their mission, and individuals for the promotion of their skills and/or value to others.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240" w:before="240" w:line="240" w:lineRule="auto"/>
              <w:rPr>
                <w:rFonts w:ascii="Lato" w:cs="Lato" w:eastAsia="Lato" w:hAnsi="Lato"/>
                <w:color w:val="393737"/>
                <w:sz w:val="21"/>
                <w:szCs w:val="21"/>
              </w:rPr>
            </w:pPr>
            <w:r w:rsidDel="00000000" w:rsidR="00000000" w:rsidRPr="00000000">
              <w:rPr>
                <w:rFonts w:ascii="Lato" w:cs="Lato" w:eastAsia="Lato" w:hAnsi="Lato"/>
                <w:color w:val="393737"/>
                <w:sz w:val="21"/>
                <w:szCs w:val="21"/>
                <w:rtl w:val="0"/>
              </w:rPr>
              <w:t xml:space="preserve">The elements of a marketing plan contain research and strategy for understanding:</w:t>
            </w:r>
          </w:p>
          <w:p w:rsidR="00000000" w:rsidDel="00000000" w:rsidP="00000000" w:rsidRDefault="00000000" w:rsidRPr="00000000" w14:paraId="00000023">
            <w:pPr>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before="240" w:line="240" w:lineRule="auto"/>
              <w:ind w:left="720" w:hanging="360"/>
              <w:rPr>
                <w:rFonts w:ascii="Lato" w:cs="Lato" w:eastAsia="Lato" w:hAnsi="Lato"/>
                <w:color w:val="393737"/>
                <w:sz w:val="21"/>
                <w:szCs w:val="21"/>
                <w:u w:val="none"/>
              </w:rPr>
            </w:pPr>
            <w:r w:rsidDel="00000000" w:rsidR="00000000" w:rsidRPr="00000000">
              <w:rPr>
                <w:rFonts w:ascii="Lato" w:cs="Lato" w:eastAsia="Lato" w:hAnsi="Lato"/>
                <w:color w:val="393737"/>
                <w:sz w:val="21"/>
                <w:szCs w:val="21"/>
                <w:rtl w:val="0"/>
              </w:rPr>
              <w:t xml:space="preserve">who the organization is and what they want to accomplish</w:t>
            </w:r>
          </w:p>
          <w:p w:rsidR="00000000" w:rsidDel="00000000" w:rsidP="00000000" w:rsidRDefault="00000000" w:rsidRPr="00000000" w14:paraId="00000024">
            <w:pPr>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40" w:lineRule="auto"/>
              <w:ind w:left="720" w:hanging="360"/>
              <w:rPr>
                <w:rFonts w:ascii="Lato" w:cs="Lato" w:eastAsia="Lato" w:hAnsi="Lato"/>
                <w:color w:val="393737"/>
                <w:sz w:val="21"/>
                <w:szCs w:val="21"/>
                <w:u w:val="none"/>
              </w:rPr>
            </w:pPr>
            <w:r w:rsidDel="00000000" w:rsidR="00000000" w:rsidRPr="00000000">
              <w:rPr>
                <w:rFonts w:ascii="Lato" w:cs="Lato" w:eastAsia="Lato" w:hAnsi="Lato"/>
                <w:color w:val="393737"/>
                <w:sz w:val="21"/>
                <w:szCs w:val="21"/>
                <w:rtl w:val="0"/>
              </w:rPr>
              <w:t xml:space="preserve">the market </w:t>
            </w:r>
          </w:p>
          <w:p w:rsidR="00000000" w:rsidDel="00000000" w:rsidP="00000000" w:rsidRDefault="00000000" w:rsidRPr="00000000" w14:paraId="00000025">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40" w:lineRule="auto"/>
              <w:ind w:left="1440" w:hanging="360"/>
              <w:rPr>
                <w:rFonts w:ascii="Lato" w:cs="Lato" w:eastAsia="Lato" w:hAnsi="Lato"/>
                <w:color w:val="393737"/>
                <w:sz w:val="21"/>
                <w:szCs w:val="21"/>
                <w:u w:val="none"/>
              </w:rPr>
            </w:pPr>
            <w:r w:rsidDel="00000000" w:rsidR="00000000" w:rsidRPr="00000000">
              <w:rPr>
                <w:rFonts w:ascii="Lato" w:cs="Lato" w:eastAsia="Lato" w:hAnsi="Lato"/>
                <w:color w:val="393737"/>
                <w:sz w:val="21"/>
                <w:szCs w:val="21"/>
                <w:rtl w:val="0"/>
              </w:rPr>
              <w:t xml:space="preserve">how their contribution might meet a need</w:t>
            </w:r>
          </w:p>
          <w:p w:rsidR="00000000" w:rsidDel="00000000" w:rsidP="00000000" w:rsidRDefault="00000000" w:rsidRPr="00000000" w14:paraId="00000026">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40" w:lineRule="auto"/>
              <w:ind w:left="1440" w:hanging="360"/>
              <w:rPr>
                <w:rFonts w:ascii="Lato" w:cs="Lato" w:eastAsia="Lato" w:hAnsi="Lato"/>
                <w:color w:val="393737"/>
                <w:sz w:val="21"/>
                <w:szCs w:val="21"/>
                <w:u w:val="none"/>
              </w:rPr>
            </w:pPr>
            <w:r w:rsidDel="00000000" w:rsidR="00000000" w:rsidRPr="00000000">
              <w:rPr>
                <w:rFonts w:ascii="Lato" w:cs="Lato" w:eastAsia="Lato" w:hAnsi="Lato"/>
                <w:color w:val="393737"/>
                <w:sz w:val="21"/>
                <w:szCs w:val="21"/>
                <w:rtl w:val="0"/>
              </w:rPr>
              <w:t xml:space="preserve">who those individuals are that would benefit and how</w:t>
            </w:r>
          </w:p>
          <w:p w:rsidR="00000000" w:rsidDel="00000000" w:rsidP="00000000" w:rsidRDefault="00000000" w:rsidRPr="00000000" w14:paraId="00000027">
            <w:pPr>
              <w:numPr>
                <w:ilvl w:val="0"/>
                <w:numId w:val="1"/>
              </w:numPr>
              <w:pBdr>
                <w:top w:color="auto" w:space="0" w:sz="0" w:val="none"/>
                <w:left w:color="auto" w:space="0" w:sz="0" w:val="none"/>
                <w:bottom w:color="auto" w:space="0" w:sz="0" w:val="none"/>
                <w:right w:color="auto" w:space="0" w:sz="0" w:val="none"/>
                <w:between w:color="auto" w:space="0" w:sz="0" w:val="none"/>
              </w:pBdr>
              <w:spacing w:after="240" w:before="0" w:beforeAutospacing="0" w:line="240" w:lineRule="auto"/>
              <w:ind w:left="720" w:hanging="360"/>
              <w:rPr>
                <w:rFonts w:ascii="Lato" w:cs="Lato" w:eastAsia="Lato" w:hAnsi="Lato"/>
                <w:color w:val="393737"/>
                <w:sz w:val="21"/>
                <w:szCs w:val="21"/>
                <w:u w:val="none"/>
              </w:rPr>
            </w:pPr>
            <w:r w:rsidDel="00000000" w:rsidR="00000000" w:rsidRPr="00000000">
              <w:rPr>
                <w:rFonts w:ascii="Lato" w:cs="Lato" w:eastAsia="Lato" w:hAnsi="Lato"/>
                <w:color w:val="393737"/>
                <w:sz w:val="21"/>
                <w:szCs w:val="21"/>
                <w:rtl w:val="0"/>
              </w:rPr>
              <w:t xml:space="preserve">who to collaborate with in order to make it all possible as they create, communicate, deliver, and exchange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240" w:before="240" w:line="240" w:lineRule="auto"/>
              <w:rPr/>
            </w:pPr>
            <w:r w:rsidDel="00000000" w:rsidR="00000000" w:rsidRPr="00000000">
              <w:rPr>
                <w:rFonts w:ascii="Lato" w:cs="Lato" w:eastAsia="Lato" w:hAnsi="Lato"/>
                <w:color w:val="393737"/>
                <w:sz w:val="21"/>
                <w:szCs w:val="21"/>
                <w:rtl w:val="0"/>
              </w:rPr>
              <w:t xml:space="preserve">Understanding a target market and situation analysis can be done using SWOT analysis—understanding the strengths, weaknesses, opportunities and threats—both within the organization and externally in the marketplace.  </w:t>
            </w:r>
            <w:r w:rsidDel="00000000" w:rsidR="00000000" w:rsidRPr="00000000">
              <w:rPr>
                <w:rtl w:val="0"/>
              </w:rPr>
            </w:r>
          </w:p>
        </w:tc>
        <w:tc>
          <w:tcPr>
            <w:vAlign w:val="center"/>
          </w:tcPr>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Lato" w:cs="Lato" w:eastAsia="Lato" w:hAnsi="Lato"/>
                <w:color w:val="393737"/>
                <w:sz w:val="21"/>
                <w:szCs w:val="21"/>
              </w:rPr>
            </w:pPr>
            <w:r w:rsidDel="00000000" w:rsidR="00000000" w:rsidRPr="00000000">
              <w:rPr>
                <w:rFonts w:ascii="Lato" w:cs="Lato" w:eastAsia="Lato" w:hAnsi="Lato"/>
                <w:color w:val="393737"/>
                <w:sz w:val="21"/>
                <w:szCs w:val="21"/>
                <w:rtl w:val="0"/>
              </w:rPr>
              <w:t xml:space="preserve">The big question in marketing is, “Why?” Regardless of whether you’re an individual, a non-profit, or a for-profit the overarching question in marketing is related to the </w:t>
            </w:r>
            <w:r w:rsidDel="00000000" w:rsidR="00000000" w:rsidRPr="00000000">
              <w:rPr>
                <w:rFonts w:ascii="Lato" w:cs="Lato" w:eastAsia="Lato" w:hAnsi="Lato"/>
                <w:i w:val="1"/>
                <w:color w:val="393737"/>
                <w:sz w:val="21"/>
                <w:szCs w:val="21"/>
                <w:rtl w:val="0"/>
              </w:rPr>
              <w:t xml:space="preserve">value proposition</w:t>
            </w:r>
            <w:r w:rsidDel="00000000" w:rsidR="00000000" w:rsidRPr="00000000">
              <w:rPr>
                <w:rFonts w:ascii="Lato" w:cs="Lato" w:eastAsia="Lato" w:hAnsi="Lato"/>
                <w:color w:val="393737"/>
                <w:sz w:val="21"/>
                <w:szCs w:val="21"/>
                <w:rtl w:val="0"/>
              </w:rPr>
              <w:t xml:space="preserve">. Knowing why you want to do something gives purpose. Knowing why you want to partner with someone makes a statement about value—for them and for you. Knowing why an organization does what it does allows employees, investors, donors, volunteers, and participants to engage with it and whether it aligns with their own values and goals. When you know the ‘why’ you can create, communicate, deliver, and trade (exchange something of value for something else of value). In the non-profit that trade may be the contribution of one’s time, effort, or resources for the accomplishment of that valuable goal to meet a need. </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Lato" w:cs="Lato" w:eastAsia="Lato" w:hAnsi="Lato"/>
                <w:color w:val="393737"/>
                <w:sz w:val="21"/>
                <w:szCs w:val="21"/>
              </w:rPr>
            </w:pPr>
            <w:r w:rsidDel="00000000" w:rsidR="00000000" w:rsidRPr="00000000">
              <w:rPr>
                <w:rFonts w:ascii="Lato" w:cs="Lato" w:eastAsia="Lato" w:hAnsi="Lato"/>
                <w:color w:val="393737"/>
                <w:sz w:val="21"/>
                <w:szCs w:val="21"/>
                <w:rtl w:val="0"/>
              </w:rPr>
              <w:t xml:space="preserve">Understanding the need and the best way to meet it are equally important. The ‘how’ one does what they do is just as important as the ‘why’ they do it. In this way, marketing evaluates the audience/recipient’s worldview and understands that engaging with them in a manner that is worthwhile to them is just as important as the goods/services that are offered. </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Lato" w:cs="Lato" w:eastAsia="Lato" w:hAnsi="Lato"/>
                <w:color w:val="393737"/>
                <w:sz w:val="21"/>
                <w:szCs w:val="21"/>
              </w:rPr>
            </w:pPr>
            <w:r w:rsidDel="00000000" w:rsidR="00000000" w:rsidRPr="00000000">
              <w:rPr>
                <w:rFonts w:ascii="Lato" w:cs="Lato" w:eastAsia="Lato" w:hAnsi="Lato"/>
                <w:color w:val="393737"/>
                <w:sz w:val="21"/>
                <w:szCs w:val="21"/>
                <w:rtl w:val="0"/>
              </w:rPr>
              <w:t xml:space="preserve">The approach to marketing was once seen through the lense of product, promotion, place and price. The new paradigm expands this view to create, communicate, deliver, and exchange because the ‘why’ has expanded. Experience is the new playing field. The consumer wants to know how the organization sees themselves in the community and how the community experiences the organization, how the organization treats the environment, etc.. The promotion is an experience, the experience in the place where people shop is important (whether online of storefront). And the exchange may even include a benefit for someone other than the purchaser. </w:t>
            </w:r>
          </w:p>
        </w:tc>
      </w:tr>
      <w:tr>
        <w:tc>
          <w:tcPr>
            <w:gridSpan w:val="4"/>
            <w:vAlign w:val="center"/>
          </w:tcPr>
          <w:p w:rsidR="00000000" w:rsidDel="00000000" w:rsidP="00000000" w:rsidRDefault="00000000" w:rsidRPr="00000000" w14:paraId="0000002D">
            <w:pPr>
              <w:ind w:left="720"/>
              <w:jc w:val="center"/>
              <w:rPr>
                <w:b w:val="0"/>
                <w:vertAlign w:val="baseline"/>
              </w:rPr>
            </w:pPr>
            <w:r w:rsidDel="00000000" w:rsidR="00000000" w:rsidRPr="00000000">
              <w:rPr>
                <w:b w:val="1"/>
                <w:vertAlign w:val="baseline"/>
                <w:rtl w:val="0"/>
              </w:rPr>
              <w:t xml:space="preserve">Reading Summary and Reflective Comments 2- Week 3</w:t>
            </w:r>
            <w:r w:rsidDel="00000000" w:rsidR="00000000" w:rsidRPr="00000000">
              <w:rPr>
                <w:rtl w:val="0"/>
              </w:rPr>
            </w:r>
          </w:p>
        </w:tc>
      </w:tr>
      <w:tr>
        <w:trPr>
          <w:trHeight w:val="1080" w:hRule="atLeast"/>
        </w:trPr>
        <w:tc>
          <w:tcPr>
            <w:vAlign w:val="center"/>
          </w:tcPr>
          <w:p w:rsidR="00000000" w:rsidDel="00000000" w:rsidP="00000000" w:rsidRDefault="00000000" w:rsidRPr="00000000" w14:paraId="00000031">
            <w:pPr>
              <w:jc w:val="center"/>
              <w:rPr>
                <w:b w:val="1"/>
              </w:rPr>
            </w:pPr>
            <w:r w:rsidDel="00000000" w:rsidR="00000000" w:rsidRPr="00000000">
              <w:rPr>
                <w:b w:val="1"/>
                <w:rtl w:val="0"/>
              </w:rPr>
              <w:t xml:space="preserve">Tanner and Raymond</w:t>
            </w:r>
          </w:p>
          <w:p w:rsidR="00000000" w:rsidDel="00000000" w:rsidP="00000000" w:rsidRDefault="00000000" w:rsidRPr="00000000" w14:paraId="00000032">
            <w:pPr>
              <w:jc w:val="center"/>
              <w:rPr>
                <w:b w:val="1"/>
              </w:rPr>
            </w:pPr>
            <w:r w:rsidDel="00000000" w:rsidR="00000000" w:rsidRPr="00000000">
              <w:rPr>
                <w:rtl w:val="0"/>
              </w:rPr>
            </w:r>
          </w:p>
          <w:p w:rsidR="00000000" w:rsidDel="00000000" w:rsidP="00000000" w:rsidRDefault="00000000" w:rsidRPr="00000000" w14:paraId="00000033">
            <w:pPr>
              <w:jc w:val="center"/>
              <w:rPr>
                <w:b w:val="1"/>
                <w:vertAlign w:val="baseline"/>
              </w:rPr>
            </w:pPr>
            <w:r w:rsidDel="00000000" w:rsidR="00000000" w:rsidRPr="00000000">
              <w:rPr>
                <w:b w:val="1"/>
                <w:rtl w:val="0"/>
              </w:rPr>
              <w:t xml:space="preserve">ch. 5 &amp; 6</w:t>
            </w:r>
            <w:r w:rsidDel="00000000" w:rsidR="00000000" w:rsidRPr="00000000">
              <w:rPr>
                <w:rtl w:val="0"/>
              </w:rPr>
            </w:r>
          </w:p>
        </w:tc>
        <w:tc>
          <w:tcPr>
            <w:gridSpan w:val="2"/>
            <w:vAlign w:val="center"/>
          </w:tcPr>
          <w:p w:rsidR="00000000" w:rsidDel="00000000" w:rsidP="00000000" w:rsidRDefault="00000000" w:rsidRPr="00000000" w14:paraId="00000034">
            <w:pPr>
              <w:ind w:left="360"/>
              <w:jc w:val="center"/>
              <w:rPr>
                <w:vertAlign w:val="baseline"/>
              </w:rPr>
            </w:pPr>
            <w:r w:rsidDel="00000000" w:rsidR="00000000" w:rsidRPr="00000000">
              <w:rPr>
                <w:rtl w:val="0"/>
              </w:rPr>
            </w:r>
          </w:p>
        </w:tc>
        <w:tc>
          <w:tcPr>
            <w:vAlign w:val="center"/>
          </w:tcPr>
          <w:p w:rsidR="00000000" w:rsidDel="00000000" w:rsidP="00000000" w:rsidRDefault="00000000" w:rsidRPr="00000000" w14:paraId="00000036">
            <w:pPr>
              <w:ind w:left="360"/>
              <w:jc w:val="center"/>
              <w:rPr>
                <w:vertAlign w:val="baseline"/>
              </w:rPr>
            </w:pPr>
            <w:r w:rsidDel="00000000" w:rsidR="00000000" w:rsidRPr="00000000">
              <w:rPr>
                <w:rtl w:val="0"/>
              </w:rPr>
            </w:r>
          </w:p>
        </w:tc>
      </w:tr>
      <w:tr>
        <w:tc>
          <w:tcPr>
            <w:gridSpan w:val="4"/>
            <w:vAlign w:val="center"/>
          </w:tcPr>
          <w:p w:rsidR="00000000" w:rsidDel="00000000" w:rsidP="00000000" w:rsidRDefault="00000000" w:rsidRPr="00000000" w14:paraId="00000037">
            <w:pPr>
              <w:ind w:left="720"/>
              <w:jc w:val="center"/>
              <w:rPr>
                <w:b w:val="0"/>
                <w:vertAlign w:val="baseline"/>
              </w:rPr>
            </w:pPr>
            <w:r w:rsidDel="00000000" w:rsidR="00000000" w:rsidRPr="00000000">
              <w:rPr>
                <w:b w:val="1"/>
                <w:vertAlign w:val="baseline"/>
                <w:rtl w:val="0"/>
              </w:rPr>
              <w:t xml:space="preserve">Reading Summary and Reflective Comments 3- Week 5</w:t>
            </w:r>
            <w:r w:rsidDel="00000000" w:rsidR="00000000" w:rsidRPr="00000000">
              <w:rPr>
                <w:rtl w:val="0"/>
              </w:rPr>
            </w:r>
          </w:p>
        </w:tc>
      </w:tr>
      <w:tr>
        <w:trPr>
          <w:trHeight w:val="1080" w:hRule="atLeast"/>
        </w:trPr>
        <w:tc>
          <w:tcPr>
            <w:vAlign w:val="center"/>
          </w:tcPr>
          <w:p w:rsidR="00000000" w:rsidDel="00000000" w:rsidP="00000000" w:rsidRDefault="00000000" w:rsidRPr="00000000" w14:paraId="0000003B">
            <w:pPr>
              <w:jc w:val="center"/>
              <w:rPr>
                <w:b w:val="1"/>
              </w:rPr>
            </w:pPr>
            <w:r w:rsidDel="00000000" w:rsidR="00000000" w:rsidRPr="00000000">
              <w:rPr>
                <w:b w:val="1"/>
                <w:rtl w:val="0"/>
              </w:rPr>
              <w:t xml:space="preserve">Tanner and Raymond</w:t>
            </w:r>
          </w:p>
          <w:p w:rsidR="00000000" w:rsidDel="00000000" w:rsidP="00000000" w:rsidRDefault="00000000" w:rsidRPr="00000000" w14:paraId="0000003C">
            <w:pPr>
              <w:jc w:val="center"/>
              <w:rPr>
                <w:b w:val="1"/>
              </w:rPr>
            </w:pPr>
            <w:r w:rsidDel="00000000" w:rsidR="00000000" w:rsidRPr="00000000">
              <w:rPr>
                <w:b w:val="1"/>
                <w:rtl w:val="0"/>
              </w:rPr>
              <w:t xml:space="preserve">week 5</w:t>
            </w:r>
          </w:p>
          <w:p w:rsidR="00000000" w:rsidDel="00000000" w:rsidP="00000000" w:rsidRDefault="00000000" w:rsidRPr="00000000" w14:paraId="0000003D">
            <w:pPr>
              <w:jc w:val="center"/>
              <w:rPr>
                <w:b w:val="1"/>
              </w:rPr>
            </w:pPr>
            <w:r w:rsidDel="00000000" w:rsidR="00000000" w:rsidRPr="00000000">
              <w:rPr>
                <w:b w:val="1"/>
                <w:rtl w:val="0"/>
              </w:rPr>
              <w:t xml:space="preserve">ch. 10 &amp; 12</w:t>
            </w:r>
          </w:p>
        </w:tc>
        <w:tc>
          <w:tcPr>
            <w:gridSpan w:val="2"/>
            <w:vAlign w:val="center"/>
          </w:tcPr>
          <w:p w:rsidR="00000000" w:rsidDel="00000000" w:rsidP="00000000" w:rsidRDefault="00000000" w:rsidRPr="00000000" w14:paraId="0000003E">
            <w:pPr>
              <w:ind w:left="360"/>
              <w:jc w:val="center"/>
              <w:rPr>
                <w:vertAlign w:val="baseline"/>
              </w:rPr>
            </w:pPr>
            <w:r w:rsidDel="00000000" w:rsidR="00000000" w:rsidRPr="00000000">
              <w:rPr>
                <w:rtl w:val="0"/>
              </w:rPr>
            </w:r>
          </w:p>
          <w:p w:rsidR="00000000" w:rsidDel="00000000" w:rsidP="00000000" w:rsidRDefault="00000000" w:rsidRPr="00000000" w14:paraId="0000003F">
            <w:pPr>
              <w:ind w:left="360"/>
              <w:jc w:val="center"/>
              <w:rPr>
                <w:vertAlign w:val="baseline"/>
              </w:rPr>
            </w:pPr>
            <w:r w:rsidDel="00000000" w:rsidR="00000000" w:rsidRPr="00000000">
              <w:rPr>
                <w:rtl w:val="0"/>
              </w:rPr>
            </w:r>
          </w:p>
        </w:tc>
        <w:tc>
          <w:tcPr>
            <w:vAlign w:val="center"/>
          </w:tcPr>
          <w:p w:rsidR="00000000" w:rsidDel="00000000" w:rsidP="00000000" w:rsidRDefault="00000000" w:rsidRPr="00000000" w14:paraId="00000041">
            <w:pPr>
              <w:ind w:left="360"/>
              <w:jc w:val="center"/>
              <w:rPr>
                <w:vertAlign w:val="baseline"/>
              </w:rPr>
            </w:pPr>
            <w:r w:rsidDel="00000000" w:rsidR="00000000" w:rsidRPr="00000000">
              <w:rPr>
                <w:rtl w:val="0"/>
              </w:rPr>
            </w:r>
          </w:p>
        </w:tc>
      </w:tr>
    </w:tbl>
    <w:p w:rsidR="00000000" w:rsidDel="00000000" w:rsidP="00000000" w:rsidRDefault="00000000" w:rsidRPr="00000000" w14:paraId="00000042">
      <w:pPr>
        <w:rPr>
          <w:vertAlign w:val="baseline"/>
        </w:rPr>
      </w:pPr>
      <w:r w:rsidDel="00000000" w:rsidR="00000000" w:rsidRPr="00000000">
        <w:rPr>
          <w:rtl w:val="0"/>
        </w:rPr>
      </w:r>
    </w:p>
    <w:sectPr>
      <w:headerReference r:id="rId7" w:type="default"/>
      <w:headerReference r:id="rId8" w:type="first"/>
      <w:footerReference r:id="rId9" w:type="default"/>
      <w:pgSz w:h="12240" w:w="158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pos="6480"/>
        <w:tab w:val="right" w:pos="129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Terence Davis, Sr.</w:t>
      <w:tab/>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Page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16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EDUC 742</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pos="6480"/>
        <w:tab w:val="right" w:pos="129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t xml:space="preserve">ECO</w:t>
    </w:r>
    <w:r w:rsidDel="00000000" w:rsidR="00000000" w:rsidRPr="00000000">
      <w:rPr>
        <w:sz w:val="20"/>
        <w:szCs w:val="20"/>
        <w:rtl w:val="0"/>
      </w:rPr>
      <w:t xml:space="preserve">419: Economics and Marketing of Management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n0mU7IWTsrW97l2EpgWk8MMrxg==">AMUW2mUaTdo3huHx9Eo34F/NYoZtztKpyOP6NStSnKgbo1YFX9MfWSalzQf+SJVQwfpyVm0C/6y6X0bWEl6BlDNTE+tLI7Jj5YiKz2+84fc34tKtGfXLKCI=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