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4AF" w:rsidRDefault="00A464AF">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3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720"/>
        <w:gridCol w:w="5040"/>
        <w:gridCol w:w="5760"/>
      </w:tblGrid>
      <w:tr w:rsidR="00A464AF">
        <w:tc>
          <w:tcPr>
            <w:tcW w:w="13068" w:type="dxa"/>
            <w:gridSpan w:val="4"/>
            <w:tcBorders>
              <w:top w:val="nil"/>
              <w:left w:val="nil"/>
              <w:bottom w:val="nil"/>
              <w:right w:val="nil"/>
            </w:tcBorders>
          </w:tcPr>
          <w:p w:rsidR="00A464AF" w:rsidRDefault="00755DF1">
            <w:pPr>
              <w:jc w:val="center"/>
              <w:rPr>
                <w:sz w:val="28"/>
                <w:szCs w:val="28"/>
              </w:rPr>
            </w:pPr>
            <w:r>
              <w:rPr>
                <w:b/>
                <w:smallCaps/>
                <w:sz w:val="28"/>
                <w:szCs w:val="28"/>
              </w:rPr>
              <w:t>Reading Summary and Reflective Comments Form &amp; Instructions</w:t>
            </w:r>
          </w:p>
          <w:p w:rsidR="00A464AF" w:rsidRDefault="00A464AF">
            <w:pPr>
              <w:jc w:val="center"/>
            </w:pPr>
          </w:p>
        </w:tc>
      </w:tr>
      <w:tr w:rsidR="00A464AF">
        <w:tc>
          <w:tcPr>
            <w:tcW w:w="13068" w:type="dxa"/>
            <w:gridSpan w:val="4"/>
            <w:tcBorders>
              <w:top w:val="nil"/>
              <w:left w:val="nil"/>
              <w:right w:val="nil"/>
            </w:tcBorders>
          </w:tcPr>
          <w:p w:rsidR="00A464AF" w:rsidRDefault="00755DF1">
            <w:r>
              <w:t>For each assigned reading, summarize the main principles and reflect on these principles in order to make the content meaningful to you.  This will ensure that you understand the reading and understand its relationship to daily life experiences within your</w:t>
            </w:r>
            <w:r>
              <w:t xml:space="preserve"> educational setting or work environment.  The reflective comments may draw on previous experiences or </w:t>
            </w:r>
            <w:proofErr w:type="gramStart"/>
            <w:r>
              <w:t>future plans</w:t>
            </w:r>
            <w:proofErr w:type="gramEnd"/>
            <w:r>
              <w:t xml:space="preserve"> to use the information from the reading.  Reading summaries will be 150-175 words and will be in paragraph form, and the reflective comments</w:t>
            </w:r>
            <w:r>
              <w:t xml:space="preserve"> will be 100-200 words.  (Submit the Reading Summary and Reflective Comments by 11:59 p.m. (ET) on Sunday in Modules/Weeks 1, 3, and 5, and adding the new entries each time.)</w:t>
            </w:r>
          </w:p>
          <w:p w:rsidR="00A464AF" w:rsidRDefault="00A464AF"/>
        </w:tc>
      </w:tr>
      <w:tr w:rsidR="00A464AF">
        <w:tc>
          <w:tcPr>
            <w:tcW w:w="2268" w:type="dxa"/>
            <w:gridSpan w:val="2"/>
            <w:vAlign w:val="center"/>
          </w:tcPr>
          <w:p w:rsidR="00A464AF" w:rsidRDefault="00755DF1">
            <w:pPr>
              <w:jc w:val="center"/>
            </w:pPr>
            <w:r>
              <w:rPr>
                <w:b/>
              </w:rPr>
              <w:t>STUDENT NAME:</w:t>
            </w:r>
          </w:p>
        </w:tc>
        <w:tc>
          <w:tcPr>
            <w:tcW w:w="10800" w:type="dxa"/>
            <w:gridSpan w:val="2"/>
            <w:vAlign w:val="center"/>
          </w:tcPr>
          <w:p w:rsidR="00A464AF" w:rsidRDefault="00A464AF">
            <w:pPr>
              <w:jc w:val="center"/>
            </w:pPr>
          </w:p>
        </w:tc>
      </w:tr>
      <w:tr w:rsidR="00A464AF">
        <w:tc>
          <w:tcPr>
            <w:tcW w:w="1548" w:type="dxa"/>
            <w:vAlign w:val="center"/>
          </w:tcPr>
          <w:p w:rsidR="00A464AF" w:rsidRDefault="00755DF1">
            <w:pPr>
              <w:jc w:val="center"/>
            </w:pPr>
            <w:r>
              <w:rPr>
                <w:b/>
              </w:rPr>
              <w:t>Reading</w:t>
            </w:r>
          </w:p>
          <w:p w:rsidR="00A464AF" w:rsidRDefault="00755DF1">
            <w:pPr>
              <w:jc w:val="center"/>
            </w:pPr>
            <w:r>
              <w:rPr>
                <w:b/>
              </w:rPr>
              <w:t>Assignment</w:t>
            </w:r>
          </w:p>
        </w:tc>
        <w:tc>
          <w:tcPr>
            <w:tcW w:w="5760" w:type="dxa"/>
            <w:gridSpan w:val="2"/>
            <w:vAlign w:val="center"/>
          </w:tcPr>
          <w:p w:rsidR="00A464AF" w:rsidRDefault="00755DF1">
            <w:pPr>
              <w:jc w:val="center"/>
            </w:pPr>
            <w:r>
              <w:rPr>
                <w:b/>
              </w:rPr>
              <w:t>Reading Summary (Main Principles)</w:t>
            </w:r>
          </w:p>
        </w:tc>
        <w:tc>
          <w:tcPr>
            <w:tcW w:w="5760" w:type="dxa"/>
            <w:vAlign w:val="center"/>
          </w:tcPr>
          <w:p w:rsidR="00A464AF" w:rsidRDefault="00755DF1">
            <w:pPr>
              <w:jc w:val="center"/>
            </w:pPr>
            <w:r>
              <w:rPr>
                <w:b/>
              </w:rPr>
              <w:t>Reflective Comments</w:t>
            </w:r>
          </w:p>
        </w:tc>
      </w:tr>
      <w:tr w:rsidR="00A464AF">
        <w:tc>
          <w:tcPr>
            <w:tcW w:w="13068" w:type="dxa"/>
            <w:gridSpan w:val="4"/>
            <w:vAlign w:val="center"/>
          </w:tcPr>
          <w:p w:rsidR="00A464AF" w:rsidRDefault="00755DF1">
            <w:pPr>
              <w:ind w:left="720"/>
              <w:jc w:val="center"/>
            </w:pPr>
            <w:r>
              <w:rPr>
                <w:b/>
              </w:rPr>
              <w:t>Reading Summary and Reflective Comments 1- Week 1</w:t>
            </w:r>
          </w:p>
        </w:tc>
      </w:tr>
      <w:tr w:rsidR="00A464AF">
        <w:trPr>
          <w:trHeight w:val="1080"/>
        </w:trPr>
        <w:tc>
          <w:tcPr>
            <w:tcW w:w="1548" w:type="dxa"/>
            <w:vAlign w:val="center"/>
          </w:tcPr>
          <w:p w:rsidR="00A464AF" w:rsidRDefault="00755DF1">
            <w:pPr>
              <w:jc w:val="center"/>
              <w:rPr>
                <w:b/>
              </w:rPr>
            </w:pPr>
            <w:r>
              <w:rPr>
                <w:b/>
              </w:rPr>
              <w:t>Tanner and Raymond</w:t>
            </w:r>
          </w:p>
          <w:p w:rsidR="00A464AF" w:rsidRDefault="00755DF1">
            <w:pPr>
              <w:rPr>
                <w:b/>
              </w:rPr>
            </w:pPr>
            <w:r>
              <w:rPr>
                <w:b/>
              </w:rPr>
              <w:t>Ch. 1 &amp; 2</w:t>
            </w:r>
          </w:p>
          <w:p w:rsidR="00A464AF" w:rsidRDefault="00A464AF">
            <w:pPr>
              <w:jc w:val="center"/>
            </w:pPr>
          </w:p>
        </w:tc>
        <w:tc>
          <w:tcPr>
            <w:tcW w:w="5760" w:type="dxa"/>
            <w:gridSpan w:val="2"/>
            <w:vAlign w:val="center"/>
          </w:tcPr>
          <w:p w:rsidR="00A464AF" w:rsidRDefault="00755DF1">
            <w:pPr>
              <w:ind w:left="360"/>
            </w:pPr>
            <w:bookmarkStart w:id="0" w:name="_gjdgxs" w:colFirst="0" w:colLast="0"/>
            <w:bookmarkEnd w:id="0"/>
            <w:r>
              <w:t>In Chapters 1&amp; 2 by Tanner and Raymond, we learn the definition of marketing and how the four P’s of product, price, promotion, and place make up the marketing mix. Chapter two goes in depth on the SWOT analysis that consists of Strengths, Weaknesses, Oppo</w:t>
            </w:r>
            <w:r>
              <w:t>rtunities, and Threats. Organizations can begin to understand and identify their competitive advantage by using the SWOT analysis and can be used for external and internal environments.</w:t>
            </w:r>
          </w:p>
          <w:p w:rsidR="00A464AF" w:rsidRDefault="00755DF1">
            <w:pPr>
              <w:ind w:left="360"/>
            </w:pPr>
            <w:bookmarkStart w:id="1" w:name="_plb0h94074wa" w:colFirst="0" w:colLast="0"/>
            <w:bookmarkEnd w:id="1"/>
            <w:r>
              <w:t xml:space="preserve"> Both chapters highlight how technology is paving the way with a compe</w:t>
            </w:r>
            <w:r>
              <w:t>titive advantage. We have all seen how technology can push a product out of the market. An example given was that of the typewriter. Although they are making a comeback, when the computer was launched on the market, it was a serious threat to the typewrite</w:t>
            </w:r>
            <w:r>
              <w:t xml:space="preserve">r companies. Eventually, everything has revolved around growing technology and the benefits it adds to marketing and </w:t>
            </w:r>
            <w:r>
              <w:lastRenderedPageBreak/>
              <w:t>product promotion. By firms having a strategy and tactics for their marketing plan, this will provide a foundation and blueprint for the fi</w:t>
            </w:r>
            <w:r>
              <w:t>rm success for market penetration and market development</w:t>
            </w:r>
            <w:r>
              <w:t xml:space="preserve"> strategy.</w:t>
            </w:r>
          </w:p>
        </w:tc>
        <w:tc>
          <w:tcPr>
            <w:tcW w:w="5760" w:type="dxa"/>
            <w:vAlign w:val="center"/>
          </w:tcPr>
          <w:p w:rsidR="00A464AF" w:rsidRDefault="00755DF1">
            <w:pPr>
              <w:ind w:left="360"/>
            </w:pPr>
            <w:r>
              <w:lastRenderedPageBreak/>
              <w:t>The chapters this week were a great review as I have taken marketing and economics courses in the past. Marketing has always interested me, and it was refreshing to read up on more materia</w:t>
            </w:r>
            <w:r>
              <w:t xml:space="preserve">l this week. By learning more in depth about strategies, I can now identify and understand the strategies of companies that I purchase from. </w:t>
            </w:r>
          </w:p>
          <w:p w:rsidR="00A464AF" w:rsidRDefault="00755DF1">
            <w:pPr>
              <w:ind w:left="360"/>
            </w:pPr>
            <w:r>
              <w:t>This class will really open</w:t>
            </w:r>
            <w:bookmarkStart w:id="2" w:name="_GoBack"/>
            <w:bookmarkEnd w:id="2"/>
            <w:r>
              <w:t xml:space="preserve"> my eyes to my consumer habits and how the companies I frequently purchase from to re</w:t>
            </w:r>
            <w:r>
              <w:t>evaluate if they align with my views and how they choose to run their businesses. Am I going to navigate towards companies that give back? I am very excited to go more in depth to look at the marketing mix and how marketing and economics can provide a grea</w:t>
            </w:r>
            <w:r>
              <w:t xml:space="preserve">t foundation for future management and leadership opportunities. </w:t>
            </w:r>
          </w:p>
        </w:tc>
      </w:tr>
      <w:tr w:rsidR="00A464AF">
        <w:tc>
          <w:tcPr>
            <w:tcW w:w="13068" w:type="dxa"/>
            <w:gridSpan w:val="4"/>
            <w:vAlign w:val="center"/>
          </w:tcPr>
          <w:p w:rsidR="00A464AF" w:rsidRDefault="00755DF1">
            <w:pPr>
              <w:ind w:left="720"/>
              <w:jc w:val="center"/>
            </w:pPr>
            <w:r>
              <w:rPr>
                <w:b/>
              </w:rPr>
              <w:t>Reading Summary and Reflective Comments 2- Week 3</w:t>
            </w:r>
          </w:p>
        </w:tc>
      </w:tr>
      <w:tr w:rsidR="00A464AF">
        <w:trPr>
          <w:trHeight w:val="1080"/>
        </w:trPr>
        <w:tc>
          <w:tcPr>
            <w:tcW w:w="1548" w:type="dxa"/>
            <w:vAlign w:val="center"/>
          </w:tcPr>
          <w:p w:rsidR="00A464AF" w:rsidRDefault="00755DF1">
            <w:pPr>
              <w:jc w:val="center"/>
              <w:rPr>
                <w:b/>
              </w:rPr>
            </w:pPr>
            <w:r>
              <w:rPr>
                <w:b/>
              </w:rPr>
              <w:t>Tanner and Raymond</w:t>
            </w:r>
          </w:p>
          <w:p w:rsidR="00A464AF" w:rsidRDefault="00A464AF">
            <w:pPr>
              <w:jc w:val="center"/>
              <w:rPr>
                <w:b/>
              </w:rPr>
            </w:pPr>
          </w:p>
          <w:p w:rsidR="00A464AF" w:rsidRDefault="00755DF1">
            <w:pPr>
              <w:jc w:val="center"/>
              <w:rPr>
                <w:b/>
              </w:rPr>
            </w:pPr>
            <w:proofErr w:type="spellStart"/>
            <w:r>
              <w:rPr>
                <w:b/>
              </w:rPr>
              <w:t>ch.</w:t>
            </w:r>
            <w:proofErr w:type="spellEnd"/>
            <w:r>
              <w:rPr>
                <w:b/>
              </w:rPr>
              <w:t xml:space="preserve"> 5 &amp; 6</w:t>
            </w:r>
          </w:p>
        </w:tc>
        <w:tc>
          <w:tcPr>
            <w:tcW w:w="5760" w:type="dxa"/>
            <w:gridSpan w:val="2"/>
            <w:vAlign w:val="center"/>
          </w:tcPr>
          <w:p w:rsidR="00A464AF" w:rsidRDefault="00A464AF">
            <w:pPr>
              <w:ind w:left="360"/>
              <w:jc w:val="center"/>
            </w:pPr>
          </w:p>
        </w:tc>
        <w:tc>
          <w:tcPr>
            <w:tcW w:w="5760" w:type="dxa"/>
            <w:vAlign w:val="center"/>
          </w:tcPr>
          <w:p w:rsidR="00A464AF" w:rsidRDefault="00A464AF">
            <w:pPr>
              <w:ind w:left="360"/>
              <w:jc w:val="center"/>
            </w:pPr>
          </w:p>
        </w:tc>
      </w:tr>
      <w:tr w:rsidR="00A464AF">
        <w:tc>
          <w:tcPr>
            <w:tcW w:w="13068" w:type="dxa"/>
            <w:gridSpan w:val="4"/>
            <w:vAlign w:val="center"/>
          </w:tcPr>
          <w:p w:rsidR="00A464AF" w:rsidRDefault="00755DF1">
            <w:pPr>
              <w:ind w:left="720"/>
              <w:jc w:val="center"/>
            </w:pPr>
            <w:r>
              <w:rPr>
                <w:b/>
              </w:rPr>
              <w:t>Reading Summary and Reflective Comments 3- Week 5</w:t>
            </w:r>
          </w:p>
        </w:tc>
      </w:tr>
      <w:tr w:rsidR="00A464AF">
        <w:trPr>
          <w:trHeight w:val="1080"/>
        </w:trPr>
        <w:tc>
          <w:tcPr>
            <w:tcW w:w="1548" w:type="dxa"/>
            <w:vAlign w:val="center"/>
          </w:tcPr>
          <w:p w:rsidR="00A464AF" w:rsidRDefault="00755DF1">
            <w:pPr>
              <w:jc w:val="center"/>
              <w:rPr>
                <w:b/>
              </w:rPr>
            </w:pPr>
            <w:r>
              <w:rPr>
                <w:b/>
              </w:rPr>
              <w:t>Tanner and Raymond</w:t>
            </w:r>
          </w:p>
          <w:p w:rsidR="00A464AF" w:rsidRDefault="00755DF1">
            <w:pPr>
              <w:jc w:val="center"/>
              <w:rPr>
                <w:b/>
              </w:rPr>
            </w:pPr>
            <w:r>
              <w:rPr>
                <w:b/>
              </w:rPr>
              <w:t>week 5</w:t>
            </w:r>
          </w:p>
          <w:p w:rsidR="00A464AF" w:rsidRDefault="00755DF1">
            <w:pPr>
              <w:jc w:val="center"/>
              <w:rPr>
                <w:b/>
              </w:rPr>
            </w:pPr>
            <w:proofErr w:type="spellStart"/>
            <w:r>
              <w:rPr>
                <w:b/>
              </w:rPr>
              <w:t>ch.</w:t>
            </w:r>
            <w:proofErr w:type="spellEnd"/>
            <w:r>
              <w:rPr>
                <w:b/>
              </w:rPr>
              <w:t xml:space="preserve"> 10 &amp; 12</w:t>
            </w:r>
          </w:p>
        </w:tc>
        <w:tc>
          <w:tcPr>
            <w:tcW w:w="5760" w:type="dxa"/>
            <w:gridSpan w:val="2"/>
            <w:vAlign w:val="center"/>
          </w:tcPr>
          <w:p w:rsidR="00A464AF" w:rsidRDefault="00A464AF">
            <w:pPr>
              <w:ind w:left="360"/>
              <w:jc w:val="center"/>
            </w:pPr>
          </w:p>
          <w:p w:rsidR="00A464AF" w:rsidRDefault="00A464AF">
            <w:pPr>
              <w:ind w:left="360"/>
              <w:jc w:val="center"/>
            </w:pPr>
          </w:p>
        </w:tc>
        <w:tc>
          <w:tcPr>
            <w:tcW w:w="5760" w:type="dxa"/>
            <w:vAlign w:val="center"/>
          </w:tcPr>
          <w:p w:rsidR="00A464AF" w:rsidRDefault="00A464AF">
            <w:pPr>
              <w:ind w:left="360"/>
              <w:jc w:val="center"/>
            </w:pPr>
          </w:p>
        </w:tc>
      </w:tr>
    </w:tbl>
    <w:p w:rsidR="00A464AF" w:rsidRDefault="00A464AF"/>
    <w:sectPr w:rsidR="00A464AF">
      <w:headerReference w:type="default" r:id="rId6"/>
      <w:footerReference w:type="default" r:id="rId7"/>
      <w:headerReference w:type="first" r:id="rId8"/>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55DF1">
      <w:r>
        <w:separator/>
      </w:r>
    </w:p>
  </w:endnote>
  <w:endnote w:type="continuationSeparator" w:id="0">
    <w:p w:rsidR="00000000" w:rsidRDefault="00755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4AF" w:rsidRDefault="00755DF1">
    <w:pPr>
      <w:pBdr>
        <w:top w:val="nil"/>
        <w:left w:val="nil"/>
        <w:bottom w:val="nil"/>
        <w:right w:val="nil"/>
        <w:between w:val="nil"/>
      </w:pBdr>
      <w:tabs>
        <w:tab w:val="center" w:pos="6480"/>
        <w:tab w:val="right" w:pos="12960"/>
      </w:tabs>
      <w:jc w:val="center"/>
      <w:rPr>
        <w:color w:val="000000"/>
        <w:sz w:val="20"/>
        <w:szCs w:val="20"/>
      </w:rPr>
    </w:pPr>
    <w:r>
      <w:rPr>
        <w:sz w:val="20"/>
        <w:szCs w:val="20"/>
      </w:rPr>
      <w:t>Terence Davis, Sr.</w:t>
    </w:r>
    <w:r>
      <w:rPr>
        <w:sz w:val="20"/>
        <w:szCs w:val="20"/>
      </w:rPr>
      <w:tab/>
    </w:r>
    <w:r>
      <w:rPr>
        <w:sz w:val="20"/>
        <w:szCs w:val="20"/>
      </w:rPr>
      <w:tab/>
    </w: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r>
      <w:rPr>
        <w:color w:val="000000"/>
        <w:sz w:val="20"/>
        <w:szCs w:val="20"/>
      </w:rPr>
      <w:t xml:space="preserve"> of </w:t>
    </w:r>
    <w:r>
      <w:rPr>
        <w:color w:val="000000"/>
        <w:sz w:val="20"/>
        <w:szCs w:val="20"/>
      </w:rPr>
      <w:fldChar w:fldCharType="begin"/>
    </w:r>
    <w:r>
      <w:rPr>
        <w:color w:val="000000"/>
        <w:sz w:val="20"/>
        <w:szCs w:val="20"/>
      </w:rPr>
      <w:instrText>NUMPAGES</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55DF1">
      <w:r>
        <w:separator/>
      </w:r>
    </w:p>
  </w:footnote>
  <w:footnote w:type="continuationSeparator" w:id="0">
    <w:p w:rsidR="00000000" w:rsidRDefault="00755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4AF" w:rsidRDefault="00755DF1">
    <w:pPr>
      <w:pBdr>
        <w:top w:val="nil"/>
        <w:left w:val="nil"/>
        <w:bottom w:val="nil"/>
        <w:right w:val="nil"/>
        <w:between w:val="nil"/>
      </w:pBdr>
      <w:tabs>
        <w:tab w:val="center" w:pos="6480"/>
        <w:tab w:val="right" w:pos="12960"/>
      </w:tabs>
      <w:rPr>
        <w:color w:val="000000"/>
        <w:sz w:val="20"/>
        <w:szCs w:val="20"/>
      </w:rPr>
    </w:pPr>
    <w:r>
      <w:rPr>
        <w:color w:val="000000"/>
        <w:sz w:val="20"/>
        <w:szCs w:val="20"/>
      </w:rPr>
      <w:tab/>
    </w:r>
    <w:r>
      <w:rPr>
        <w:color w:val="000000"/>
        <w:sz w:val="20"/>
        <w:szCs w:val="20"/>
      </w:rPr>
      <w:tab/>
      <w:t>ECO</w:t>
    </w:r>
    <w:r>
      <w:rPr>
        <w:sz w:val="20"/>
        <w:szCs w:val="20"/>
      </w:rPr>
      <w:t>419: Economics and Marketing of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4AF" w:rsidRDefault="00755DF1">
    <w:pPr>
      <w:pBdr>
        <w:top w:val="nil"/>
        <w:left w:val="nil"/>
        <w:bottom w:val="nil"/>
        <w:right w:val="nil"/>
        <w:between w:val="nil"/>
      </w:pBdr>
      <w:ind w:firstLine="2160"/>
      <w:jc w:val="right"/>
      <w:rPr>
        <w:color w:val="000000"/>
        <w:sz w:val="20"/>
        <w:szCs w:val="20"/>
      </w:rPr>
    </w:pPr>
    <w:r>
      <w:rPr>
        <w:color w:val="000000"/>
        <w:sz w:val="20"/>
        <w:szCs w:val="20"/>
      </w:rPr>
      <w:t>EDUC 742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AF"/>
    <w:rsid w:val="00755DF1"/>
    <w:rsid w:val="00A4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5831D-F474-4FD3-B172-441BCFD8E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Byholm, Gabriella J.</cp:lastModifiedBy>
  <cp:revision>2</cp:revision>
  <dcterms:created xsi:type="dcterms:W3CDTF">2019-11-01T20:21:00Z</dcterms:created>
  <dcterms:modified xsi:type="dcterms:W3CDTF">2019-11-01T20:21:00Z</dcterms:modified>
</cp:coreProperties>
</file>