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ind w:left="360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Tatiana Rich </w:t>
      </w:r>
    </w:p>
    <w:p w:rsidR="00000000" w:rsidDel="00000000" w:rsidP="00000000" w:rsidRDefault="00000000" w:rsidRPr="00000000" w14:paraId="00000002">
      <w:pPr>
        <w:spacing w:after="0" w:line="240" w:lineRule="auto"/>
        <w:jc w:val="left"/>
        <w:rPr>
          <w:rFonts w:ascii="Cambria" w:cs="Cambria" w:eastAsia="Cambria" w:hAnsi="Cambria"/>
          <w:b w:val="1"/>
          <w:sz w:val="24"/>
          <w:szCs w:val="24"/>
        </w:rPr>
      </w:pPr>
      <w:bookmarkStart w:colFirst="0" w:colLast="0" w:name="_rontl0d0b929" w:id="0"/>
      <w:bookmarkEnd w:id="0"/>
      <w:r w:rsidDel="00000000" w:rsidR="00000000" w:rsidRPr="00000000">
        <w:rPr>
          <w:rFonts w:ascii="Times New Roman" w:cs="Times New Roman" w:eastAsia="Times New Roman" w:hAnsi="Times New Roman"/>
          <w:sz w:val="24"/>
          <w:szCs w:val="24"/>
          <w:rtl w:val="0"/>
        </w:rPr>
        <w:t xml:space="preserve">                                            Educational Research and Statistics</w:t>
      </w:r>
      <w:r w:rsidDel="00000000" w:rsidR="00000000" w:rsidRPr="00000000">
        <w:rPr>
          <w:rtl w:val="0"/>
        </w:rPr>
      </w:r>
    </w:p>
    <w:p w:rsidR="00000000" w:rsidDel="00000000" w:rsidP="00000000" w:rsidRDefault="00000000" w:rsidRPr="00000000" w14:paraId="00000003">
      <w:pPr>
        <w:spacing w:after="0" w:line="240" w:lineRule="auto"/>
        <w:ind w:left="2880" w:firstLine="720"/>
        <w:rPr/>
      </w:pPr>
      <w:bookmarkStart w:colFirst="0" w:colLast="0" w:name="_rontl0d0b929" w:id="0"/>
      <w:bookmarkEnd w:id="0"/>
      <w:r w:rsidDel="00000000" w:rsidR="00000000" w:rsidRPr="00000000">
        <w:rPr>
          <w:rtl w:val="0"/>
        </w:rPr>
      </w:r>
    </w:p>
    <w:p w:rsidR="00000000" w:rsidDel="00000000" w:rsidP="00000000" w:rsidRDefault="00000000" w:rsidRPr="00000000" w14:paraId="00000004">
      <w:pPr>
        <w:spacing w:after="0" w:line="240" w:lineRule="auto"/>
        <w:ind w:left="2880" w:firstLine="0"/>
        <w:rPr>
          <w:rFonts w:ascii="Times New Roman" w:cs="Times New Roman" w:eastAsia="Times New Roman" w:hAnsi="Times New Roman"/>
          <w:b w:val="1"/>
          <w:color w:val="222222"/>
          <w:sz w:val="24"/>
          <w:szCs w:val="24"/>
        </w:rPr>
      </w:pPr>
      <w:bookmarkStart w:colFirst="0" w:colLast="0" w:name="_tdzp2pxriemq" w:id="1"/>
      <w:bookmarkEnd w:id="1"/>
      <w:r w:rsidDel="00000000" w:rsidR="00000000" w:rsidRPr="00000000">
        <w:rPr>
          <w:rtl w:val="0"/>
        </w:rPr>
        <w:t xml:space="preserve">          </w:t>
      </w:r>
      <w:r w:rsidDel="00000000" w:rsidR="00000000" w:rsidRPr="00000000">
        <w:rPr>
          <w:rtl w:val="0"/>
        </w:rPr>
        <w:t xml:space="preserve">    June 17, 2020</w:t>
      </w:r>
      <w:r w:rsidDel="00000000" w:rsidR="00000000" w:rsidRPr="00000000">
        <w:rPr>
          <w:rtl w:val="0"/>
        </w:rPr>
      </w:r>
    </w:p>
    <w:p w:rsidR="00000000" w:rsidDel="00000000" w:rsidP="00000000" w:rsidRDefault="00000000" w:rsidRPr="00000000" w14:paraId="00000005">
      <w:pPr>
        <w:spacing w:after="0" w:line="240" w:lineRule="auto"/>
        <w:ind w:left="2880" w:firstLine="0"/>
        <w:rPr>
          <w:rFonts w:ascii="Times New Roman" w:cs="Times New Roman" w:eastAsia="Times New Roman" w:hAnsi="Times New Roman"/>
          <w:sz w:val="24"/>
          <w:szCs w:val="24"/>
        </w:rPr>
      </w:pPr>
      <w:bookmarkStart w:colFirst="0" w:colLast="0" w:name="_34twq4qlagjo" w:id="2"/>
      <w:bookmarkEnd w:id="2"/>
      <w:r w:rsidDel="00000000" w:rsidR="00000000" w:rsidRPr="00000000">
        <w:rPr>
          <w:rFonts w:ascii="Times New Roman" w:cs="Times New Roman" w:eastAsia="Times New Roman" w:hAnsi="Times New Roman"/>
          <w:sz w:val="26"/>
          <w:szCs w:val="26"/>
          <w:rtl w:val="0"/>
        </w:rPr>
        <w:t xml:space="preserve">   </w:t>
      </w:r>
      <w:r w:rsidDel="00000000" w:rsidR="00000000" w:rsidRPr="00000000">
        <w:rPr>
          <w:rFonts w:ascii="Times New Roman" w:cs="Times New Roman" w:eastAsia="Times New Roman" w:hAnsi="Times New Roman"/>
          <w:sz w:val="26"/>
          <w:szCs w:val="26"/>
          <w:rtl w:val="0"/>
        </w:rPr>
        <w:t xml:space="preserve">Lab 3 &amp; 4 - Literature</w:t>
      </w:r>
      <w:r w:rsidDel="00000000" w:rsidR="00000000" w:rsidRPr="00000000">
        <w:rPr>
          <w:rtl w:val="0"/>
        </w:rPr>
      </w:r>
    </w:p>
    <w:p w:rsidR="00000000" w:rsidDel="00000000" w:rsidP="00000000" w:rsidRDefault="00000000" w:rsidRPr="00000000" w14:paraId="00000006">
      <w:pPr>
        <w:spacing w:after="0" w:line="480" w:lineRule="auto"/>
        <w:ind w:left="3600" w:firstLine="720"/>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07">
      <w:pPr>
        <w:spacing w:after="0" w:line="480" w:lineRule="auto"/>
        <w:ind w:left="0" w:firstLine="0"/>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                      </w:t>
        <w:tab/>
        <w:tab/>
        <w:tab/>
        <w:tab/>
        <w:t xml:space="preserve">     Problem</w:t>
      </w:r>
    </w:p>
    <w:p w:rsidR="00000000" w:rsidDel="00000000" w:rsidP="00000000" w:rsidRDefault="00000000" w:rsidRPr="00000000" w14:paraId="00000008">
      <w:pPr>
        <w:spacing w:after="0" w:line="480" w:lineRule="auto"/>
        <w:ind w:firstLine="720"/>
        <w:rPr>
          <w:rFonts w:ascii="Arial" w:cs="Arial" w:eastAsia="Arial" w:hAnsi="Arial"/>
          <w:color w:val="202020"/>
          <w:sz w:val="20"/>
          <w:szCs w:val="20"/>
        </w:rPr>
      </w:pPr>
      <w:r w:rsidDel="00000000" w:rsidR="00000000" w:rsidRPr="00000000">
        <w:rPr>
          <w:rFonts w:ascii="Arial" w:cs="Arial" w:eastAsia="Arial" w:hAnsi="Arial"/>
          <w:color w:val="202020"/>
          <w:sz w:val="20"/>
          <w:szCs w:val="20"/>
          <w:rtl w:val="0"/>
        </w:rPr>
        <w:t xml:space="preserve">The purpose of this study is to identify the problem of whether higher-level thinking will increase reading comprehension in first grade. This subject is of interest because as a result many students will browse through a text, but they face problems with the comprehension once asked a question. The purpose of this study was to determine if higher-order thinking improved reading comprehension in first-grade students. During this study, a quasi-experimental design was used. In the treatment group, there were fifteen students and in the control group, there were eighteen. The students in the treatment group were taught three different higher-order thinking strategies. The higher-order thinking strategies were asked about different types of questions. making connections and writing after reading, During the study, all students were given the Developmental Screening Assessment. This a way to identify reading levels, potential developmental, and instructional needs. The study determined that the students who received the higher-order thinking skills had higher reading comprehension than the students who did not receive these skills. </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ind w:left="4320" w:firstLine="0"/>
        <w:rPr/>
      </w:pPr>
      <w:r w:rsidDel="00000000" w:rsidR="00000000" w:rsidRPr="00000000">
        <w:rPr>
          <w:rtl w:val="0"/>
        </w:rPr>
        <w:t xml:space="preserve">Reference </w:t>
      </w:r>
    </w:p>
    <w:p w:rsidR="00000000" w:rsidDel="00000000" w:rsidP="00000000" w:rsidRDefault="00000000" w:rsidRPr="00000000" w14:paraId="00000013">
      <w:pPr>
        <w:spacing w:after="240" w:before="240" w:lineRule="auto"/>
        <w:ind w:firstLine="720"/>
        <w:rPr/>
      </w:pPr>
      <w:r w:rsidDel="00000000" w:rsidR="00000000" w:rsidRPr="00000000">
        <w:rPr>
          <w:rtl w:val="0"/>
        </w:rPr>
        <w:t xml:space="preserve">Framework of Assessment for the Evaluation of Thinking Skills of Tertiary Level Students. (2015). </w:t>
      </w:r>
      <w:r w:rsidDel="00000000" w:rsidR="00000000" w:rsidRPr="00000000">
        <w:rPr>
          <w:i w:val="1"/>
          <w:rtl w:val="0"/>
        </w:rPr>
        <w:t xml:space="preserve">Advances in Language and Literary Studies,</w:t>
      </w:r>
      <w:r w:rsidDel="00000000" w:rsidR="00000000" w:rsidRPr="00000000">
        <w:rPr>
          <w:rtl w:val="0"/>
        </w:rPr>
        <w:t xml:space="preserve"> </w:t>
      </w:r>
      <w:r w:rsidDel="00000000" w:rsidR="00000000" w:rsidRPr="00000000">
        <w:rPr>
          <w:i w:val="1"/>
          <w:rtl w:val="0"/>
        </w:rPr>
        <w:t xml:space="preserve">6</w:t>
      </w:r>
      <w:r w:rsidDel="00000000" w:rsidR="00000000" w:rsidRPr="00000000">
        <w:rPr>
          <w:rtl w:val="0"/>
        </w:rPr>
        <w:t xml:space="preserve">(5). doi:10.7575/aiac.alls.v.6n.5p.67</w:t>
      </w:r>
    </w:p>
    <w:p w:rsidR="00000000" w:rsidDel="00000000" w:rsidP="00000000" w:rsidRDefault="00000000" w:rsidRPr="00000000" w14:paraId="00000014">
      <w:pPr>
        <w:ind w:left="0" w:firstLine="720"/>
        <w:rPr/>
      </w:pPr>
      <w:r w:rsidDel="00000000" w:rsidR="00000000" w:rsidRPr="00000000">
        <w:rPr>
          <w:rtl w:val="0"/>
        </w:rPr>
        <w:t xml:space="preserve">N. S. Rajendran, “Teaching and Acquiring Higher-Order Thinking Skills Theory &amp; Practice,” Tanjong Malim Perak: Penerbit Universiti Pendidikan Sultan Idris, 2008</w:t>
      </w:r>
    </w:p>
    <w:p w:rsidR="00000000" w:rsidDel="00000000" w:rsidP="00000000" w:rsidRDefault="00000000" w:rsidRPr="00000000" w14:paraId="00000015">
      <w:pPr>
        <w:spacing w:after="240" w:before="240" w:lineRule="auto"/>
        <w:ind w:left="560" w:firstLine="0"/>
        <w:rPr/>
      </w:pPr>
      <w:r w:rsidDel="00000000" w:rsidR="00000000" w:rsidRPr="00000000">
        <w:rPr>
          <w:rtl w:val="0"/>
        </w:rPr>
        <w:t xml:space="preserve">Zohar, A. (2013). Scaling up higher order thinking in science classrooms: The challenge of bridging the gap between theory, policy and practice. </w:t>
      </w:r>
      <w:r w:rsidDel="00000000" w:rsidR="00000000" w:rsidRPr="00000000">
        <w:rPr>
          <w:i w:val="1"/>
          <w:rtl w:val="0"/>
        </w:rPr>
        <w:t xml:space="preserve">Thinking Skills and Creativity,</w:t>
      </w:r>
      <w:r w:rsidDel="00000000" w:rsidR="00000000" w:rsidRPr="00000000">
        <w:rPr>
          <w:rtl w:val="0"/>
        </w:rPr>
        <w:t xml:space="preserve"> </w:t>
      </w:r>
      <w:r w:rsidDel="00000000" w:rsidR="00000000" w:rsidRPr="00000000">
        <w:rPr>
          <w:i w:val="1"/>
          <w:rtl w:val="0"/>
        </w:rPr>
        <w:t xml:space="preserve">10</w:t>
      </w:r>
      <w:r w:rsidDel="00000000" w:rsidR="00000000" w:rsidRPr="00000000">
        <w:rPr>
          <w:rtl w:val="0"/>
        </w:rPr>
        <w:t xml:space="preserve">, 168-172. doi:10.1016/j.tsc.2013.08.001</w:t>
      </w:r>
    </w:p>
    <w:p w:rsidR="00000000" w:rsidDel="00000000" w:rsidP="00000000" w:rsidRDefault="00000000" w:rsidRPr="00000000" w14:paraId="00000016">
      <w:pPr>
        <w:spacing w:after="240" w:before="240" w:lineRule="auto"/>
        <w:ind w:left="0" w:firstLine="0"/>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Cambr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60" w:before="480" w:line="259" w:lineRule="auto"/>
    </w:pPr>
    <w:rPr>
      <w:rFonts w:ascii="Calibri" w:cs="Calibri" w:eastAsia="Calibri" w:hAnsi="Calibri"/>
      <w:b w:val="1"/>
      <w:color w:val="345a8a"/>
      <w:sz w:val="32"/>
      <w:szCs w:val="32"/>
    </w:rPr>
  </w:style>
  <w:style w:type="paragraph" w:styleId="Heading2">
    <w:name w:val="heading 2"/>
    <w:basedOn w:val="Normal"/>
    <w:next w:val="Normal"/>
    <w:pPr>
      <w:keepNext w:val="1"/>
      <w:keepLines w:val="1"/>
      <w:spacing w:after="160" w:before="200" w:line="259" w:lineRule="auto"/>
    </w:pPr>
    <w:rPr>
      <w:rFonts w:ascii="Calibri" w:cs="Calibri" w:eastAsia="Calibri" w:hAnsi="Calibri"/>
      <w:b w:val="1"/>
      <w:color w:val="4f81bd"/>
      <w:sz w:val="26"/>
      <w:szCs w:val="26"/>
    </w:rPr>
  </w:style>
  <w:style w:type="paragraph" w:styleId="Heading3">
    <w:name w:val="heading 3"/>
    <w:basedOn w:val="Normal"/>
    <w:next w:val="Normal"/>
    <w:pPr>
      <w:keepNext w:val="1"/>
      <w:keepLines w:val="1"/>
      <w:spacing w:after="160" w:before="200" w:line="259" w:lineRule="auto"/>
    </w:pPr>
    <w:rPr>
      <w:rFonts w:ascii="Calibri" w:cs="Calibri" w:eastAsia="Calibri" w:hAnsi="Calibri"/>
      <w:b w:val="1"/>
      <w:color w:val="4f81bd"/>
      <w:sz w:val="24"/>
      <w:szCs w:val="24"/>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300" w:before="0" w:line="259" w:lineRule="auto"/>
    </w:pPr>
    <w:rPr>
      <w:rFonts w:ascii="Calibri" w:cs="Calibri" w:eastAsia="Calibri" w:hAnsi="Calibri"/>
      <w:b w:val="0"/>
      <w:color w:val="17365d"/>
      <w:sz w:val="52"/>
      <w:szCs w:val="52"/>
    </w:rPr>
  </w:style>
  <w:style w:type="paragraph" w:styleId="Subtitle">
    <w:name w:val="Subtitle"/>
    <w:basedOn w:val="Normal"/>
    <w:next w:val="Normal"/>
    <w:pPr>
      <w:keepNext w:val="1"/>
      <w:keepLines w:val="1"/>
      <w:spacing w:after="160" w:before="0" w:line="259" w:lineRule="auto"/>
    </w:pPr>
    <w:rPr>
      <w:rFonts w:ascii="Calibri" w:cs="Calibri" w:eastAsia="Calibri" w:hAnsi="Calibri"/>
      <w:b w:val="0"/>
      <w:i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