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Anxiety is an emotion common to all people.  It consists of strong negative emotion and an element of fear.  When these elements reach a point of excess and have a debilitating effect on the life of a person, it is then categorized as an anxiety disorder (Mash &amp; Wolfe, 2019).  The DSM-5 lists eleven sub-categories of anxiety disorders: separation anxiety disorder, selective mutism, specific phobia, social anxiety disorder, panic disorder, agoraphobia, generalized anxiety disorder, substance/medication-induced anxiety disorder, anxiety due to another medical condition, other specified anxiety disorder, and unspecified anxiety disorder.  Broadly, these anxiety disorders are defined as follows.  Separation anxiety disorder is anxiety stemming from separation from an attachment figure that is developmentally inappropriate.  Selective mutism is the failure to speak in social situations while the fluency and ability to speak is present.  Specific phobia is anxiety caused by a specific object or situation.  Social anxiety disorder is caused by the fear that the individual will be in a situation where there will be scrutiny or criticism.  Panic disorder is the result of having sudden, recurrent panic attacks.  Agoraphobia is the fear of being in certain situations where escape is not readily available.  Generalized anxiety disorder is the presence of excessive worry.  Substance/medication-induced anxiety disorder is anxiety that occurs with the use of substance/medications.  Anxiety due to another medical condition is anxiety that is linked with another medical diagnosis.  Other specified anxiety disorder is a category clinicians may use when the diagnosis does not fall within specific anxiety disorder and unspecified anxiety disorder is used in cases where sufficient information may not exist for a proper diagnosis (American Psychiatric Association, 2013).  For the purpose of this paper, attention will be focused on social anxiety disorder. </w:t>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defined previously, social anxiety disorder is caused by the fear that the individual will be in a situation where there will be scrutiny or criticism and therefore cause for embarrassment.  As a result of having social anxiety disorder a child will have extreme aversion to being in social situations, ranging from engaging with peers, to public speaking in a performance setting.  Social anxiety disorder is rare in children under 10 years old and affects girls at almost twice the rate of boys.  Within diagnosed anxiety cases, social anxiety disorders account for about one-third of cases and have a lifetime prevalence of 6-12%.  In addition, symptoms last on average from 20-25 years (Mash &amp; Wolfe, 2019).  Of the various kinds of anxiety disorders, social anxiety disorder is typically also associated with depression but it is not clear whether it is causation or correlation.  </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Genetics and social conditioning play a part in the likelihood that a child will have an anxiety disorder.  Children with parents that have anxiety disorders are five times more likely to have one themselves (Mash &amp; Wolfe, 2019).  This can be a combination of inherited factors and/or learned behavior.  In general, there is a higher prevalence of anxiety within minority groups than there are for white children.  There is a higher likelihood for social anxiety disorder specifically within cultures that require obedience and compliance.  Asian cultures that are rooted in the use of shame as motivation are particularly prone.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American Psychiatric Association has developed the “Severity Measure for Social Anxiety Disorder (Social Phobia)—Child Age 11–17” for assessing a child for social anxiety disorder.  The Measure includes 10 questions to be graded on a 5 point Likert scale ranging from Never to All the Time within the last seven days.  Some questions include, “during the past seven days, I have felt moments of sudden terror, fear, or fright in social situations” and “avoided, or did not approach or enter, social situations”.  The raw score is then calculated to determine anxiety levels with a higher score indicating a higher likelihood of social anxiety disorder.  Although this assessment observes only the period of the preceding seven days, the DSM-5 Criterion F for Social Anxiety Disorder requires a time period of lasting 6 months or more.  The DSM-5 also makes two notations for evaluating children specifically.  For children, the anxiety must be present in peer settings as well as with adults in order to qualify for social anxiety disorder.  In addition, anxiety may present itself as tantrums, freezing, and/or failing to speak in children (American Psychiatric Association, 2013).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number of treatment options available for anxiety including family intervention, behavior therapy and medication.  However, for social anxiety disorder, cognitive behavior therapy is preferred for its general lack of negative side effects.  Cognitive behavior therapy works to change the way a child reacts to their anxiety and learn to manage it.  Children learn to recognize their triggers and negative responses to fear and then choose a different, more positive response that is reinforced with rewards.  Family intervention can also be helpful in addressing social anxiety disorder in part because anxiety can be inherited or learned.  These interventions help parents learn tools to help their child manage their anxiety that they themselves lack.  </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Bradley Mavin is the subject studied in the Kearney case for social anxiety and withdrawal.  Bradley is a 12 year old European American male who has begun missing school and has increased difficulty in social situations.  He was initially referred by his mother and stepfather for evaluation for depression.  During his evaluation and subsequent sessions, it was revealed that he did not want to go to school because he felt teased and embarrassed by his classmates.  These feelings primarily occurred in P.E. class where he was frequently passed over for being on teams and in English class, where there were oral assignments required.  Some other factors that affect his social anxiety are that he is a new student to the school and his parents went through a difficult divorce.  He also has a strained relationship with his stepfather.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noted earlier, anxiety disorders may be inherited or learned and Bradley’s mother was very overprotective of Bradley as well as being very shy and withdrawn herself.  Due to her difficult divorce with Bradley’s father, she relied on him in age-inappropriate ways to emotionally support her.  Bradley may have learned his anxious and withdrawn behavior as a result of this.  Bradley reported feeling “nervous and sick in large social situations” and felt that others were watching and critiquing him.  This resulted in him withdrawing in school and avoiding social contact.  Bradley’s condition meets certain criteria in the DSM-5 for social anxiety disorder, namely the DSM-5 criterion A: “marked fear or anxiety about one or more social situations in which the individual is exposed to possible scrutiny by others” and B “the individual fears that he or she will act in a way that will be negatively evaluated” (American Psychiatric Association, 2013).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Bradley began individual treatment for his social anxiety disorder where he learned coping skills to manage his anxiety.  His therapist had Bradley come up with a “social hierarchy” list of least to most anxiety-provoking situations and addressed each with Bradley to overcome them.  Bradley learned that many of his fears were unfounded in reality and were based only on his worry that it might happen and not that it had happened.  The therapist also worked with Bradley’s P.E. and English teachers to accommodate Bradley.  The P.E. teacher allowed Bradley to be “team captain” more often so that he was in charge of picking the teams rather than wait to get picked and his English teacher gave Bradley an extension on his oral reports.  Bradley practiced his oral presentation skills in therapy to gain confidence and his anxiety did go down with each presentation completed.  Bradley continued in group therapy to continue working on his social skills and made 2 good friends from the group.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Anxiety is a condition that affects nearly everyone.  It is encouraging to find via the textbook and Bradley’s case that treatment is not only possible, but extremely effective.  Many people can learn to manage their social anxiety and live productive, happy, and healthy lives.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References </w:t>
      </w:r>
      <w:r w:rsidDel="00000000" w:rsidR="00000000" w:rsidRPr="00000000">
        <w:rPr>
          <w:rtl w:val="0"/>
        </w:rPr>
      </w:r>
    </w:p>
    <w:p w:rsidR="00000000" w:rsidDel="00000000" w:rsidP="00000000" w:rsidRDefault="00000000" w:rsidRPr="00000000" w14:paraId="0000000C">
      <w:pPr>
        <w:spacing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American Psychiatric Association. (2013). </w:t>
      </w:r>
      <w:r w:rsidDel="00000000" w:rsidR="00000000" w:rsidRPr="00000000">
        <w:rPr>
          <w:rFonts w:ascii="Times New Roman" w:cs="Times New Roman" w:eastAsia="Times New Roman" w:hAnsi="Times New Roman"/>
          <w:i w:val="1"/>
          <w:sz w:val="24"/>
          <w:szCs w:val="24"/>
          <w:highlight w:val="white"/>
          <w:rtl w:val="0"/>
        </w:rPr>
        <w:t xml:space="preserve">Diagnostic and statistical manual of mental disorders</w:t>
      </w:r>
      <w:r w:rsidDel="00000000" w:rsidR="00000000" w:rsidRPr="00000000">
        <w:rPr>
          <w:rFonts w:ascii="Times New Roman" w:cs="Times New Roman" w:eastAsia="Times New Roman" w:hAnsi="Times New Roman"/>
          <w:sz w:val="24"/>
          <w:szCs w:val="24"/>
          <w:highlight w:val="white"/>
          <w:rtl w:val="0"/>
        </w:rPr>
        <w:t xml:space="preserve"> (5th ed.). Washington, DC.</w:t>
        <w:br w:type="textWrapping"/>
      </w:r>
    </w:p>
    <w:p w:rsidR="00000000" w:rsidDel="00000000" w:rsidP="00000000" w:rsidRDefault="00000000" w:rsidRPr="00000000" w14:paraId="0000000D">
      <w:pPr>
        <w:spacing w:after="160"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Kearney, C. A. (2017).  </w:t>
      </w:r>
      <w:r w:rsidDel="00000000" w:rsidR="00000000" w:rsidRPr="00000000">
        <w:rPr>
          <w:rFonts w:ascii="Times New Roman" w:cs="Times New Roman" w:eastAsia="Times New Roman" w:hAnsi="Times New Roman"/>
          <w:i w:val="1"/>
          <w:sz w:val="24"/>
          <w:szCs w:val="24"/>
          <w:highlight w:val="white"/>
          <w:rtl w:val="0"/>
        </w:rPr>
        <w:t xml:space="preserve">Casebook in Child Behavior Disorders</w:t>
      </w:r>
      <w:r w:rsidDel="00000000" w:rsidR="00000000" w:rsidRPr="00000000">
        <w:rPr>
          <w:rFonts w:ascii="Times New Roman" w:cs="Times New Roman" w:eastAsia="Times New Roman" w:hAnsi="Times New Roman"/>
          <w:sz w:val="24"/>
          <w:szCs w:val="24"/>
          <w:highlight w:val="white"/>
          <w:rtl w:val="0"/>
        </w:rPr>
        <w:t xml:space="preserve">, Sixth Edition. Boston, MA: Cengage Learning. </w:t>
        <w:br w:type="textWrapping"/>
      </w:r>
    </w:p>
    <w:p w:rsidR="00000000" w:rsidDel="00000000" w:rsidP="00000000" w:rsidRDefault="00000000" w:rsidRPr="00000000" w14:paraId="0000000E">
      <w:pPr>
        <w:spacing w:after="160"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Mash, E.J., &amp; Wolfe, D. A. (2019).  </w:t>
      </w:r>
      <w:r w:rsidDel="00000000" w:rsidR="00000000" w:rsidRPr="00000000">
        <w:rPr>
          <w:rFonts w:ascii="Times New Roman" w:cs="Times New Roman" w:eastAsia="Times New Roman" w:hAnsi="Times New Roman"/>
          <w:i w:val="1"/>
          <w:sz w:val="24"/>
          <w:szCs w:val="24"/>
          <w:highlight w:val="white"/>
          <w:rtl w:val="0"/>
        </w:rPr>
        <w:t xml:space="preserve">Abnormal Child Psychopathology</w:t>
      </w:r>
      <w:r w:rsidDel="00000000" w:rsidR="00000000" w:rsidRPr="00000000">
        <w:rPr>
          <w:rFonts w:ascii="Times New Roman" w:cs="Times New Roman" w:eastAsia="Times New Roman" w:hAnsi="Times New Roman"/>
          <w:sz w:val="24"/>
          <w:szCs w:val="24"/>
          <w:highlight w:val="white"/>
          <w:rtl w:val="0"/>
        </w:rPr>
        <w:t xml:space="preserve">, Seventh edition. Hoboken, NJ:   Wiley and Sons Inc. </w:t>
      </w:r>
    </w:p>
    <w:p w:rsidR="00000000" w:rsidDel="00000000" w:rsidP="00000000" w:rsidRDefault="00000000" w:rsidRPr="00000000" w14:paraId="0000000F">
      <w:pPr>
        <w:spacing w:after="1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after="1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