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research study was to identify if higher-order thinking increases reading comprehension in first-grade students. This research study will be quasi-experimental. There will be fifteen first grade students in the treatment group were given a pre-test, interventions, and a post-test. The control group had eighteen first grade students.</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took place in an Elementary School in Bronx, NY called Bronxworks.  This school three Kindergarten classes ,  two first grade classes and one Early Childhood Intervention (ECI) classroom. Bronxworks is apart Department of Defense educational program. This school has a middle school readiness program, which helps students acquire important skills for writing, inquiry, collaboration, organization, and reading. This is important because students have already been taught strategies to help increase comprehension and higher-order thinking skills.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fifteen students who took part in the study are in a certified teacher’s classroom and will be a part of the treatment group. The classroom dynamic consists of three special education students and twelve general education students. To assist the three special education students, there is a special educator in the classroom for additional support. The classroom consist three African American students,three Hispanic students, six Caucasian students. The students in the treatment group are eligible for free and reduced meal plans. The eighteen other students that are in first grade are utilized as the control group. This class has no children in special education, so all the children in this class are in general education. There are four Hispanic students, nine Caucasian students, and two African American students. In this control group, there are four students eligible for free and reduced meal plans. The students in this group are not utilized in the same three interventions as the students in the treatment group.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60" w:before="480" w:line="259" w:lineRule="auto"/>
    </w:pPr>
    <w:rPr>
      <w:rFonts w:ascii="Calibri" w:cs="Calibri" w:eastAsia="Calibri" w:hAnsi="Calibri"/>
      <w:b w:val="1"/>
      <w:color w:val="345a8a"/>
      <w:sz w:val="32"/>
      <w:szCs w:val="32"/>
    </w:rPr>
  </w:style>
  <w:style w:type="paragraph" w:styleId="Heading2">
    <w:name w:val="heading 2"/>
    <w:basedOn w:val="Normal"/>
    <w:next w:val="Normal"/>
    <w:pPr>
      <w:keepNext w:val="1"/>
      <w:keepLines w:val="1"/>
      <w:spacing w:after="160" w:before="200" w:line="259"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160" w:before="200" w:line="259"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300" w:before="0" w:line="259" w:lineRule="auto"/>
    </w:pPr>
    <w:rPr>
      <w:rFonts w:ascii="Calibri" w:cs="Calibri" w:eastAsia="Calibri" w:hAnsi="Calibri"/>
      <w:b w:val="0"/>
      <w:color w:val="17365d"/>
      <w:sz w:val="52"/>
      <w:szCs w:val="52"/>
    </w:rPr>
  </w:style>
  <w:style w:type="paragraph" w:styleId="Subtitle">
    <w:name w:val="Subtitle"/>
    <w:basedOn w:val="Normal"/>
    <w:next w:val="Normal"/>
    <w:pPr>
      <w:keepNext w:val="1"/>
      <w:keepLines w:val="1"/>
      <w:spacing w:after="160" w:before="0" w:line="259" w:lineRule="auto"/>
    </w:pPr>
    <w:rPr>
      <w:rFonts w:ascii="Calibri" w:cs="Calibri" w:eastAsia="Calibri" w:hAnsi="Calibri"/>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