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95" w:rsidRDefault="00266A32" w:rsidP="00266A32">
      <w:pPr>
        <w:jc w:val="center"/>
      </w:pPr>
      <w:bookmarkStart w:id="0" w:name="_GoBack"/>
      <w:bookmarkEnd w:id="0"/>
      <w:r>
        <w:t>UNIT FIVE STUDY GUIDE</w:t>
      </w:r>
    </w:p>
    <w:p w:rsidR="00266A32" w:rsidRDefault="00266A32" w:rsidP="00266A32">
      <w:r>
        <w:t>Levels of prevention – 2 questions in mental health, 1 in school health</w:t>
      </w:r>
      <w:r w:rsidR="004438CC">
        <w:t>, 1 in occupational health</w:t>
      </w:r>
      <w:r w:rsidR="00DC5507">
        <w:t xml:space="preserve"> – not included in question total.  For example, there are 10 ADDITIONAL mental health questions as well as the 2 based on levels of prevention.</w:t>
      </w:r>
    </w:p>
    <w:p w:rsidR="00DC5507" w:rsidRDefault="00DC5507" w:rsidP="00266A32"/>
    <w:p w:rsidR="00266A32" w:rsidRPr="00266A32" w:rsidRDefault="00266A32" w:rsidP="00266A32">
      <w:pPr>
        <w:rPr>
          <w:b/>
        </w:rPr>
      </w:pPr>
      <w:r>
        <w:rPr>
          <w:b/>
        </w:rPr>
        <w:t>Chapter 20 – Community Mental Health – 10 questions</w:t>
      </w:r>
    </w:p>
    <w:p w:rsidR="00266A32" w:rsidRDefault="00266A32" w:rsidP="00266A32">
      <w:r>
        <w:t>Factors that influence mental illness</w:t>
      </w:r>
    </w:p>
    <w:p w:rsidR="00266A32" w:rsidRDefault="00266A32" w:rsidP="00266A32">
      <w:r>
        <w:t>Mental illness with high percentage of individuals that go untreated</w:t>
      </w:r>
    </w:p>
    <w:p w:rsidR="00266A32" w:rsidRDefault="00266A32" w:rsidP="00266A32">
      <w:r>
        <w:t xml:space="preserve">What age group has the highest rates of unmet psychiatric </w:t>
      </w:r>
      <w:proofErr w:type="gramStart"/>
      <w:r>
        <w:t>care</w:t>
      </w:r>
      <w:proofErr w:type="gramEnd"/>
    </w:p>
    <w:p w:rsidR="00266A32" w:rsidRDefault="00266A32" w:rsidP="00266A32">
      <w:r>
        <w:t>Side effects of first-generation antipsychotics</w:t>
      </w:r>
    </w:p>
    <w:p w:rsidR="00266A32" w:rsidRDefault="00266A32" w:rsidP="00266A32">
      <w:r>
        <w:t xml:space="preserve">Side effects of second-generation </w:t>
      </w:r>
      <w:proofErr w:type="spellStart"/>
      <w:r>
        <w:t>antipsyhotics</w:t>
      </w:r>
      <w:proofErr w:type="spellEnd"/>
    </w:p>
    <w:p w:rsidR="00266A32" w:rsidRDefault="00266A32" w:rsidP="00266A32">
      <w:r>
        <w:t>Factors associated with the incidence of depression and anxiety</w:t>
      </w:r>
    </w:p>
    <w:p w:rsidR="00266A32" w:rsidRDefault="00266A32" w:rsidP="00266A32">
      <w:r>
        <w:t>Suicide risk factors – what method is most “successful”</w:t>
      </w:r>
    </w:p>
    <w:p w:rsidR="00266A32" w:rsidRDefault="00266A32" w:rsidP="00266A32">
      <w:r>
        <w:t>ADHD – assessment findings, what medication classification is used</w:t>
      </w:r>
    </w:p>
    <w:p w:rsidR="00266A32" w:rsidRDefault="00266A32" w:rsidP="00266A32">
      <w:r>
        <w:t>Age prodromal symptoms of bipolar disorder are evident</w:t>
      </w:r>
    </w:p>
    <w:p w:rsidR="00266A32" w:rsidRDefault="00266A32" w:rsidP="00266A32"/>
    <w:p w:rsidR="00266A32" w:rsidRDefault="00266A32" w:rsidP="00266A32">
      <w:pPr>
        <w:rPr>
          <w:b/>
        </w:rPr>
      </w:pPr>
      <w:r>
        <w:rPr>
          <w:b/>
        </w:rPr>
        <w:t xml:space="preserve">Chapter 21 – School Health – </w:t>
      </w:r>
      <w:r w:rsidR="0017754E">
        <w:rPr>
          <w:b/>
        </w:rPr>
        <w:t>1</w:t>
      </w:r>
      <w:r w:rsidR="00DC5507">
        <w:rPr>
          <w:b/>
        </w:rPr>
        <w:t>2</w:t>
      </w:r>
      <w:r w:rsidR="0017754E">
        <w:rPr>
          <w:b/>
        </w:rPr>
        <w:t xml:space="preserve"> </w:t>
      </w:r>
      <w:r>
        <w:rPr>
          <w:b/>
        </w:rPr>
        <w:t>questions</w:t>
      </w:r>
    </w:p>
    <w:p w:rsidR="00266A32" w:rsidRDefault="00266A32" w:rsidP="00266A32">
      <w:r>
        <w:t>8 recommended components of comprehensive school health programs – 2 questions</w:t>
      </w:r>
    </w:p>
    <w:p w:rsidR="00266A32" w:rsidRDefault="00266A32" w:rsidP="00266A32">
      <w:r>
        <w:t>Addressing electronic aggression from educator standpoint</w:t>
      </w:r>
    </w:p>
    <w:p w:rsidR="00266A32" w:rsidRDefault="00266A32" w:rsidP="00266A32">
      <w:r>
        <w:t>Lillian Wald and history of school nursing</w:t>
      </w:r>
    </w:p>
    <w:p w:rsidR="00266A32" w:rsidRDefault="00266A32" w:rsidP="00266A32">
      <w:r>
        <w:t>Type of practice and decision making the role of school nurse requires</w:t>
      </w:r>
    </w:p>
    <w:p w:rsidR="00266A32" w:rsidRDefault="00266A32" w:rsidP="00266A32">
      <w:r>
        <w:t>Individual health assessment vs. population-based assessment</w:t>
      </w:r>
      <w:r w:rsidR="0017754E">
        <w:t xml:space="preserve"> – know which activities fall under which category</w:t>
      </w:r>
    </w:p>
    <w:p w:rsidR="0017754E" w:rsidRDefault="0017754E" w:rsidP="00266A32">
      <w:r>
        <w:t>School nurse’s role in health education</w:t>
      </w:r>
    </w:p>
    <w:p w:rsidR="0017754E" w:rsidRDefault="0017754E" w:rsidP="00266A32">
      <w:r>
        <w:t>Successful strategies for preventing adolescent pregnancy</w:t>
      </w:r>
    </w:p>
    <w:p w:rsidR="0017754E" w:rsidRDefault="0017754E" w:rsidP="00266A32">
      <w:r>
        <w:t>HIV</w:t>
      </w:r>
    </w:p>
    <w:p w:rsidR="00DC5507" w:rsidRDefault="00DC5507" w:rsidP="00266A32">
      <w:r>
        <w:t>P. L. 94-142 vs. EPSDT vs. ADA vs. IDEA – 2 questions</w:t>
      </w:r>
    </w:p>
    <w:p w:rsidR="0017754E" w:rsidRDefault="0017754E" w:rsidP="00266A32">
      <w:pPr>
        <w:rPr>
          <w:b/>
        </w:rPr>
      </w:pPr>
      <w:r>
        <w:rPr>
          <w:b/>
        </w:rPr>
        <w:lastRenderedPageBreak/>
        <w:t xml:space="preserve">Chapter 23 – Palliative and End-of-Life Care – </w:t>
      </w:r>
      <w:r w:rsidR="004438CC">
        <w:rPr>
          <w:b/>
        </w:rPr>
        <w:t>22</w:t>
      </w:r>
      <w:r>
        <w:rPr>
          <w:b/>
        </w:rPr>
        <w:t xml:space="preserve"> questions</w:t>
      </w:r>
    </w:p>
    <w:p w:rsidR="0017754E" w:rsidRDefault="0017754E" w:rsidP="00266A32">
      <w:r>
        <w:t>Services included in hospice and palliative care</w:t>
      </w:r>
    </w:p>
    <w:p w:rsidR="0017754E" w:rsidRDefault="0017754E" w:rsidP="00266A32">
      <w:r>
        <w:t>Leading cause of death (in 2010)</w:t>
      </w:r>
    </w:p>
    <w:p w:rsidR="0017754E" w:rsidRDefault="0017754E" w:rsidP="00266A32">
      <w:r>
        <w:t>Comfort measures (what this includes)</w:t>
      </w:r>
    </w:p>
    <w:p w:rsidR="0017754E" w:rsidRDefault="0017754E" w:rsidP="00266A32">
      <w:r>
        <w:t>Living will</w:t>
      </w:r>
    </w:p>
    <w:p w:rsidR="0017754E" w:rsidRDefault="0017754E" w:rsidP="00266A32">
      <w:r>
        <w:t>Roles of the community health nurse in hospice and palliative care</w:t>
      </w:r>
    </w:p>
    <w:p w:rsidR="0017754E" w:rsidRDefault="0017754E" w:rsidP="00266A32">
      <w:r>
        <w:t>Grief vs. bereavement vs. mourning</w:t>
      </w:r>
    </w:p>
    <w:p w:rsidR="0017754E" w:rsidRDefault="0017754E" w:rsidP="00266A32">
      <w:r>
        <w:t>Physiologic changes when death is imminent</w:t>
      </w:r>
    </w:p>
    <w:p w:rsidR="0017754E" w:rsidRDefault="0017754E" w:rsidP="00266A32">
      <w:r>
        <w:t>Body position after death pronouncement</w:t>
      </w:r>
    </w:p>
    <w:p w:rsidR="0017754E" w:rsidRDefault="0017754E" w:rsidP="00266A32">
      <w:r>
        <w:t xml:space="preserve">Illnesses </w:t>
      </w:r>
      <w:proofErr w:type="gramStart"/>
      <w:r>
        <w:t>that are</w:t>
      </w:r>
      <w:proofErr w:type="gramEnd"/>
      <w:r>
        <w:t xml:space="preserve"> appropriate for palliative care</w:t>
      </w:r>
    </w:p>
    <w:p w:rsidR="0017754E" w:rsidRDefault="0017754E" w:rsidP="00266A32">
      <w:r>
        <w:t>Hospice – expected prognosis time</w:t>
      </w:r>
    </w:p>
    <w:p w:rsidR="0017754E" w:rsidRDefault="0017754E" w:rsidP="00266A32">
      <w:r>
        <w:t>Signs of pain</w:t>
      </w:r>
    </w:p>
    <w:p w:rsidR="0017754E" w:rsidRDefault="0017754E" w:rsidP="00266A32">
      <w:r>
        <w:t>Somatic vs. visceral vs. neuropathic pain</w:t>
      </w:r>
    </w:p>
    <w:p w:rsidR="0017754E" w:rsidRDefault="0017754E" w:rsidP="00266A32">
      <w:r>
        <w:t>Type of medication recommended for patient with neuropathic pain</w:t>
      </w:r>
    </w:p>
    <w:p w:rsidR="0017754E" w:rsidRDefault="0017754E" w:rsidP="00266A32">
      <w:r>
        <w:t>Acetaminophen as an adjuvant medication</w:t>
      </w:r>
    </w:p>
    <w:p w:rsidR="0017754E" w:rsidRDefault="0017754E" w:rsidP="00266A32">
      <w:r>
        <w:t>Pain not controlled with several meds – what route might be tried?</w:t>
      </w:r>
    </w:p>
    <w:p w:rsidR="0017754E" w:rsidRDefault="0017754E" w:rsidP="00266A32">
      <w:r>
        <w:t>Muslim patient – end-of-life care</w:t>
      </w:r>
    </w:p>
    <w:p w:rsidR="0017754E" w:rsidRDefault="0017754E" w:rsidP="00266A32">
      <w:r>
        <w:t>Constipation in dying client – treatments</w:t>
      </w:r>
    </w:p>
    <w:p w:rsidR="004438CC" w:rsidRDefault="004438CC" w:rsidP="00266A32">
      <w:r>
        <w:t>Sedation effect of opioid analgesics</w:t>
      </w:r>
    </w:p>
    <w:p w:rsidR="004438CC" w:rsidRDefault="004438CC" w:rsidP="00266A32">
      <w:r>
        <w:t>Advance directives</w:t>
      </w:r>
    </w:p>
    <w:p w:rsidR="004438CC" w:rsidRDefault="004438CC" w:rsidP="00266A32">
      <w:r>
        <w:t>Phases of grief</w:t>
      </w:r>
    </w:p>
    <w:p w:rsidR="004438CC" w:rsidRDefault="004438CC" w:rsidP="00266A32">
      <w:r>
        <w:t>Complementary and alternative medicine with hospice and palliative care</w:t>
      </w:r>
    </w:p>
    <w:p w:rsidR="004438CC" w:rsidRDefault="00DC5507" w:rsidP="00266A32">
      <w:r>
        <w:t>Distressing end-of-life symptoms</w:t>
      </w:r>
    </w:p>
    <w:p w:rsidR="0017754E" w:rsidRDefault="0017754E" w:rsidP="00266A32"/>
    <w:p w:rsidR="00DC5507" w:rsidRDefault="00DC5507" w:rsidP="00266A32"/>
    <w:p w:rsidR="0017754E" w:rsidRDefault="0017754E" w:rsidP="00266A32">
      <w:pPr>
        <w:rPr>
          <w:b/>
        </w:rPr>
      </w:pPr>
      <w:r>
        <w:rPr>
          <w:b/>
        </w:rPr>
        <w:lastRenderedPageBreak/>
        <w:t xml:space="preserve">Chapter 24 </w:t>
      </w:r>
      <w:r w:rsidR="004438CC">
        <w:rPr>
          <w:b/>
        </w:rPr>
        <w:t>–</w:t>
      </w:r>
      <w:r>
        <w:rPr>
          <w:b/>
        </w:rPr>
        <w:t xml:space="preserve"> </w:t>
      </w:r>
      <w:r w:rsidR="004438CC">
        <w:rPr>
          <w:b/>
        </w:rPr>
        <w:t>Occupational Health Nursing –11 questions</w:t>
      </w:r>
    </w:p>
    <w:p w:rsidR="004438CC" w:rsidRDefault="004438CC" w:rsidP="00266A32">
      <w:r>
        <w:t>AAOHN Competency levels – be able to identify which level if given an example</w:t>
      </w:r>
    </w:p>
    <w:p w:rsidR="004438CC" w:rsidRDefault="004438CC" w:rsidP="00266A32">
      <w:r>
        <w:t>Physical hazard vs. biological hazard vs. chemical hazard vs. psychosocial hazard – be able to identify an example – 2 questions</w:t>
      </w:r>
    </w:p>
    <w:p w:rsidR="004438CC" w:rsidRDefault="004438CC" w:rsidP="00266A32">
      <w:r>
        <w:t>Disciplines that guide the occupational nurse (i.e. epidemiology)</w:t>
      </w:r>
    </w:p>
    <w:p w:rsidR="004438CC" w:rsidRDefault="004438CC" w:rsidP="00266A32">
      <w:r>
        <w:t>Injuries with highest incidence rate of days missed at work</w:t>
      </w:r>
    </w:p>
    <w:p w:rsidR="004438CC" w:rsidRDefault="004438CC" w:rsidP="00266A32">
      <w:r>
        <w:t>Industry with highest number of fatal injuries</w:t>
      </w:r>
    </w:p>
    <w:p w:rsidR="004438CC" w:rsidRDefault="004438CC" w:rsidP="00266A32">
      <w:r>
        <w:t>Occupational health history vs. ergonomics vs. root cause analysis vs. workplace walk-through</w:t>
      </w:r>
    </w:p>
    <w:p w:rsidR="004438CC" w:rsidRDefault="004438CC" w:rsidP="00266A32">
      <w:r>
        <w:t>Components of occupational health history</w:t>
      </w:r>
    </w:p>
    <w:p w:rsidR="004438CC" w:rsidRPr="004438CC" w:rsidRDefault="004438CC" w:rsidP="00266A32">
      <w:r>
        <w:t>Characteristics of health promotion program</w:t>
      </w:r>
    </w:p>
    <w:p w:rsidR="00266A32" w:rsidRDefault="004438CC" w:rsidP="00266A32">
      <w:r>
        <w:t>Workplace health surveillance – what is included</w:t>
      </w:r>
    </w:p>
    <w:p w:rsidR="004438CC" w:rsidRDefault="004438CC" w:rsidP="00266A32">
      <w:r>
        <w:t>Calculate incidence rate – similar to problem on TTE</w:t>
      </w:r>
    </w:p>
    <w:p w:rsidR="004438CC" w:rsidRDefault="004438CC" w:rsidP="00266A32">
      <w:r>
        <w:t>Key components of the emergency plan</w:t>
      </w:r>
    </w:p>
    <w:p w:rsidR="004438CC" w:rsidRDefault="004438CC" w:rsidP="00266A32"/>
    <w:p w:rsidR="00266A32" w:rsidRPr="00266A32" w:rsidRDefault="00266A32" w:rsidP="00266A32"/>
    <w:p w:rsidR="00266A32" w:rsidRPr="00266A32" w:rsidRDefault="00266A32" w:rsidP="00266A32"/>
    <w:p w:rsidR="00266A32" w:rsidRDefault="00266A32" w:rsidP="00266A32"/>
    <w:sectPr w:rsidR="00266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32"/>
    <w:rsid w:val="0017754E"/>
    <w:rsid w:val="00266A32"/>
    <w:rsid w:val="004438CC"/>
    <w:rsid w:val="00AC0695"/>
    <w:rsid w:val="00DC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2012-04-07T21:51:00Z</dcterms:created>
  <dcterms:modified xsi:type="dcterms:W3CDTF">2012-04-07T22:26:00Z</dcterms:modified>
</cp:coreProperties>
</file>