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E3" w:rsidRDefault="005551E3" w:rsidP="005551E3">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1E1E1E"/>
          <w:sz w:val="24"/>
          <w:szCs w:val="24"/>
        </w:rPr>
        <w:t>Bruce Stevens</w:t>
      </w:r>
    </w:p>
    <w:p w:rsidR="005551E3" w:rsidRDefault="005551E3" w:rsidP="005551E3">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Age: </w:t>
      </w:r>
      <w:r>
        <w:rPr>
          <w:rFonts w:ascii="Times New Roman" w:hAnsi="Times New Roman" w:cs="Times New Roman"/>
          <w:b/>
          <w:bCs/>
          <w:color w:val="1E1E1E"/>
          <w:sz w:val="24"/>
          <w:szCs w:val="24"/>
        </w:rPr>
        <w:t>75 years</w:t>
      </w:r>
    </w:p>
    <w:p w:rsidR="005551E3" w:rsidRDefault="005551E3" w:rsidP="005551E3">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Weight: </w:t>
      </w:r>
      <w:r>
        <w:rPr>
          <w:rFonts w:ascii="Times New Roman" w:hAnsi="Times New Roman" w:cs="Times New Roman"/>
          <w:b/>
          <w:bCs/>
          <w:color w:val="1E1E1E"/>
          <w:sz w:val="24"/>
          <w:szCs w:val="24"/>
        </w:rPr>
        <w:t>70.0 kg</w:t>
      </w:r>
    </w:p>
    <w:p w:rsidR="005551E3" w:rsidRDefault="005551E3" w:rsidP="005551E3">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Base: </w:t>
      </w:r>
      <w:r>
        <w:rPr>
          <w:rFonts w:ascii="Times New Roman" w:hAnsi="Times New Roman" w:cs="Times New Roman"/>
          <w:b/>
          <w:bCs/>
          <w:color w:val="1E1E1E"/>
          <w:sz w:val="24"/>
          <w:szCs w:val="24"/>
        </w:rPr>
        <w:t xml:space="preserve">Stan D. </w:t>
      </w:r>
      <w:proofErr w:type="spellStart"/>
      <w:r>
        <w:rPr>
          <w:rFonts w:ascii="Times New Roman" w:hAnsi="Times New Roman" w:cs="Times New Roman"/>
          <w:b/>
          <w:bCs/>
          <w:color w:val="1E1E1E"/>
          <w:sz w:val="24"/>
          <w:szCs w:val="24"/>
        </w:rPr>
        <w:t>Ardman</w:t>
      </w:r>
      <w:proofErr w:type="spellEnd"/>
      <w:r>
        <w:rPr>
          <w:rFonts w:ascii="Times New Roman" w:hAnsi="Times New Roman" w:cs="Times New Roman"/>
          <w:b/>
          <w:bCs/>
          <w:color w:val="1E1E1E"/>
          <w:sz w:val="24"/>
          <w:szCs w:val="24"/>
        </w:rPr>
        <w:t xml:space="preserve"> II</w:t>
      </w:r>
    </w:p>
    <w:p w:rsidR="005551E3" w:rsidRDefault="005551E3" w:rsidP="005551E3">
      <w:pPr>
        <w:autoSpaceDE w:val="0"/>
        <w:autoSpaceDN w:val="0"/>
        <w:adjustRightInd w:val="0"/>
        <w:spacing w:after="0" w:line="240" w:lineRule="auto"/>
        <w:rPr>
          <w:rFonts w:ascii="Times New Roman" w:hAnsi="Times New Roman" w:cs="Times New Roman"/>
          <w:b/>
          <w:bCs/>
          <w:color w:val="FF6633"/>
          <w:sz w:val="24"/>
          <w:szCs w:val="24"/>
        </w:rPr>
      </w:pPr>
    </w:p>
    <w:p w:rsidR="005551E3" w:rsidRDefault="005551E3" w:rsidP="005551E3">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Angina with Cardiac Arrest</w:t>
      </w:r>
    </w:p>
    <w:p w:rsidR="005551E3" w:rsidRDefault="005551E3" w:rsidP="005551E3">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Synopsis</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This Simulated Clinical Experience (SCE) can take place in several locations, depending on the</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background</w:t>
      </w:r>
      <w:proofErr w:type="gramEnd"/>
      <w:r>
        <w:rPr>
          <w:rFonts w:ascii="Times New Roman" w:hAnsi="Times New Roman" w:cs="Times New Roman"/>
          <w:color w:val="0B333C"/>
          <w:sz w:val="24"/>
          <w:szCs w:val="24"/>
        </w:rPr>
        <w:t xml:space="preserve"> of the learner or healthcare provider. It can take place in the patient's home or in an</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ambulance</w:t>
      </w:r>
      <w:proofErr w:type="gramEnd"/>
      <w:r>
        <w:rPr>
          <w:rFonts w:ascii="Times New Roman" w:hAnsi="Times New Roman" w:cs="Times New Roman"/>
          <w:color w:val="0B333C"/>
          <w:sz w:val="24"/>
          <w:szCs w:val="24"/>
        </w:rPr>
        <w:t>, or the patient can be presented as a new arrival to the Emergency Department.</w:t>
      </w:r>
    </w:p>
    <w:p w:rsidR="00123D7D"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 xml:space="preserve">A 75-year-old male is complaining of severe </w:t>
      </w:r>
      <w:proofErr w:type="spellStart"/>
      <w:r>
        <w:rPr>
          <w:rFonts w:ascii="Times New Roman" w:hAnsi="Times New Roman" w:cs="Times New Roman"/>
          <w:color w:val="0B333C"/>
          <w:sz w:val="24"/>
          <w:szCs w:val="24"/>
        </w:rPr>
        <w:t>substernal</w:t>
      </w:r>
      <w:proofErr w:type="spellEnd"/>
      <w:r>
        <w:rPr>
          <w:rFonts w:ascii="Times New Roman" w:hAnsi="Times New Roman" w:cs="Times New Roman"/>
          <w:color w:val="0B333C"/>
          <w:sz w:val="24"/>
          <w:szCs w:val="24"/>
        </w:rPr>
        <w:t xml:space="preserve"> chest pressure that comes and goes at rest over</w:t>
      </w:r>
      <w:r>
        <w:rPr>
          <w:rFonts w:ascii="Times New Roman" w:hAnsi="Times New Roman" w:cs="Times New Roman"/>
          <w:color w:val="0B333C"/>
          <w:sz w:val="24"/>
          <w:szCs w:val="24"/>
        </w:rPr>
        <w:t xml:space="preserve"> </w:t>
      </w:r>
      <w:r>
        <w:rPr>
          <w:rFonts w:ascii="Times New Roman" w:hAnsi="Times New Roman" w:cs="Times New Roman"/>
          <w:color w:val="0B333C"/>
          <w:sz w:val="24"/>
          <w:szCs w:val="24"/>
        </w:rPr>
        <w:t>the past day. The pain has been persistent for the past hour and he feels a little sweaty and nauseated.</w:t>
      </w:r>
    </w:p>
    <w:p w:rsidR="005551E3" w:rsidRDefault="005551E3" w:rsidP="005551E3">
      <w:pPr>
        <w:autoSpaceDE w:val="0"/>
        <w:autoSpaceDN w:val="0"/>
        <w:adjustRightInd w:val="0"/>
        <w:spacing w:after="0" w:line="240" w:lineRule="auto"/>
        <w:rPr>
          <w:rFonts w:ascii="Times New Roman" w:hAnsi="Times New Roman" w:cs="Times New Roman"/>
          <w:b/>
          <w:bCs/>
          <w:color w:val="1E1E1E"/>
          <w:sz w:val="30"/>
          <w:szCs w:val="30"/>
        </w:rPr>
      </w:pPr>
      <w:r>
        <w:rPr>
          <w:rFonts w:ascii="Times New Roman" w:hAnsi="Times New Roman" w:cs="Times New Roman"/>
          <w:b/>
          <w:bCs/>
          <w:color w:val="1E1E1E"/>
          <w:sz w:val="30"/>
          <w:szCs w:val="30"/>
        </w:rPr>
        <w:t>Preparation</w:t>
      </w:r>
    </w:p>
    <w:p w:rsidR="005551E3" w:rsidRDefault="005551E3" w:rsidP="005551E3">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Learning Objectives</w:t>
      </w:r>
    </w:p>
    <w:p w:rsidR="005551E3" w:rsidRPr="005551E3" w:rsidRDefault="005551E3" w:rsidP="005551E3">
      <w:pPr>
        <w:pStyle w:val="ListParagraph"/>
        <w:numPr>
          <w:ilvl w:val="0"/>
          <w:numId w:val="1"/>
        </w:numPr>
        <w:rPr>
          <w:rFonts w:ascii="Times New Roman" w:hAnsi="Times New Roman" w:cs="Times New Roman"/>
          <w:color w:val="0B333C"/>
          <w:sz w:val="24"/>
          <w:szCs w:val="24"/>
        </w:rPr>
      </w:pPr>
      <w:r w:rsidRPr="005551E3">
        <w:rPr>
          <w:rFonts w:ascii="Times New Roman" w:hAnsi="Times New Roman" w:cs="Times New Roman"/>
          <w:color w:val="0B333C"/>
          <w:sz w:val="24"/>
          <w:szCs w:val="24"/>
        </w:rPr>
        <w:t>Demonstrates application of the Secondary Airway, Breathing, Circulation and Disability (ABCD) survey</w:t>
      </w:r>
      <w:r w:rsidRPr="005551E3">
        <w:rPr>
          <w:rFonts w:ascii="Times New Roman" w:hAnsi="Times New Roman" w:cs="Times New Roman"/>
          <w:color w:val="0B333C"/>
          <w:sz w:val="24"/>
          <w:szCs w:val="24"/>
        </w:rPr>
        <w:t>.</w:t>
      </w:r>
    </w:p>
    <w:p w:rsidR="005551E3" w:rsidRPr="005551E3" w:rsidRDefault="005551E3" w:rsidP="005551E3">
      <w:pPr>
        <w:pStyle w:val="ListParagraph"/>
        <w:numPr>
          <w:ilvl w:val="0"/>
          <w:numId w:val="1"/>
        </w:numPr>
        <w:rPr>
          <w:rFonts w:ascii="Times New Roman" w:hAnsi="Times New Roman" w:cs="Times New Roman"/>
          <w:color w:val="0B333C"/>
          <w:sz w:val="24"/>
          <w:szCs w:val="24"/>
        </w:rPr>
      </w:pPr>
      <w:r w:rsidRPr="005551E3">
        <w:rPr>
          <w:rFonts w:ascii="Times New Roman" w:hAnsi="Times New Roman" w:cs="Times New Roman"/>
          <w:color w:val="0B333C"/>
          <w:sz w:val="24"/>
          <w:szCs w:val="24"/>
        </w:rPr>
        <w:t>Applies skills for advanced management of the airway and effective ventilation</w:t>
      </w:r>
      <w:r>
        <w:rPr>
          <w:rFonts w:ascii="Times New Roman" w:hAnsi="Times New Roman" w:cs="Times New Roman"/>
          <w:color w:val="0B333C"/>
          <w:sz w:val="24"/>
          <w:szCs w:val="24"/>
        </w:rPr>
        <w:t>.</w:t>
      </w:r>
    </w:p>
    <w:p w:rsidR="005551E3" w:rsidRPr="005551E3" w:rsidRDefault="005551E3" w:rsidP="005551E3">
      <w:pPr>
        <w:pStyle w:val="ListParagraph"/>
        <w:numPr>
          <w:ilvl w:val="0"/>
          <w:numId w:val="1"/>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Performs chest compressions, if needed</w:t>
      </w:r>
      <w:r>
        <w:rPr>
          <w:rFonts w:ascii="Times New Roman" w:hAnsi="Times New Roman" w:cs="Times New Roman"/>
          <w:color w:val="0B333C"/>
          <w:sz w:val="24"/>
          <w:szCs w:val="24"/>
        </w:rPr>
        <w:t>.</w:t>
      </w:r>
    </w:p>
    <w:p w:rsidR="005551E3" w:rsidRPr="005551E3" w:rsidRDefault="005551E3" w:rsidP="005551E3">
      <w:pPr>
        <w:pStyle w:val="ListParagraph"/>
        <w:numPr>
          <w:ilvl w:val="0"/>
          <w:numId w:val="1"/>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Calls for a defibrillator/monitor and uses quick look paddles or attaches leads correctly</w:t>
      </w:r>
      <w:r>
        <w:rPr>
          <w:rFonts w:ascii="Times New Roman" w:hAnsi="Times New Roman" w:cs="Times New Roman"/>
          <w:color w:val="0B333C"/>
          <w:sz w:val="24"/>
          <w:szCs w:val="24"/>
        </w:rPr>
        <w:t>.</w:t>
      </w:r>
    </w:p>
    <w:p w:rsidR="005551E3" w:rsidRPr="005551E3" w:rsidRDefault="005551E3" w:rsidP="005551E3">
      <w:pPr>
        <w:pStyle w:val="ListParagraph"/>
        <w:numPr>
          <w:ilvl w:val="0"/>
          <w:numId w:val="1"/>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Performs immediate general treatment with morphine, oxygen, nitroglycerine and aspirin (MONA)</w:t>
      </w:r>
      <w:r>
        <w:rPr>
          <w:rFonts w:ascii="Times New Roman" w:hAnsi="Times New Roman" w:cs="Times New Roman"/>
          <w:color w:val="0B333C"/>
          <w:sz w:val="24"/>
          <w:szCs w:val="24"/>
        </w:rPr>
        <w:t>.</w:t>
      </w:r>
    </w:p>
    <w:p w:rsidR="005551E3" w:rsidRPr="005551E3" w:rsidRDefault="005551E3" w:rsidP="005551E3">
      <w:pPr>
        <w:pStyle w:val="ListParagraph"/>
        <w:numPr>
          <w:ilvl w:val="0"/>
          <w:numId w:val="1"/>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Demonstrates correct technique in establishing IV access to deliver fluids and medications</w:t>
      </w:r>
    </w:p>
    <w:p w:rsidR="005551E3" w:rsidRPr="005551E3" w:rsidRDefault="005551E3" w:rsidP="005551E3">
      <w:pPr>
        <w:pStyle w:val="ListParagraph"/>
        <w:numPr>
          <w:ilvl w:val="0"/>
          <w:numId w:val="1"/>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Administers medications in the correct sequence and dosage</w:t>
      </w:r>
      <w:r>
        <w:rPr>
          <w:rFonts w:ascii="Times New Roman" w:hAnsi="Times New Roman" w:cs="Times New Roman"/>
          <w:color w:val="0B333C"/>
          <w:sz w:val="24"/>
          <w:szCs w:val="24"/>
        </w:rPr>
        <w:t>.</w:t>
      </w:r>
    </w:p>
    <w:p w:rsidR="005551E3" w:rsidRPr="005551E3" w:rsidRDefault="005551E3" w:rsidP="005551E3">
      <w:pPr>
        <w:pStyle w:val="ListParagraph"/>
        <w:numPr>
          <w:ilvl w:val="0"/>
          <w:numId w:val="1"/>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Demonstrates the ability to provide leadership to a resuscitation team with multiple available</w:t>
      </w:r>
      <w:r w:rsidRPr="005551E3">
        <w:rPr>
          <w:rFonts w:ascii="Times New Roman" w:hAnsi="Times New Roman" w:cs="Times New Roman"/>
          <w:color w:val="0B333C"/>
          <w:sz w:val="24"/>
          <w:szCs w:val="24"/>
        </w:rPr>
        <w:t xml:space="preserve"> </w:t>
      </w:r>
      <w:r w:rsidRPr="005551E3">
        <w:rPr>
          <w:rFonts w:ascii="Times New Roman" w:hAnsi="Times New Roman" w:cs="Times New Roman"/>
          <w:color w:val="0B333C"/>
          <w:sz w:val="24"/>
          <w:szCs w:val="24"/>
        </w:rPr>
        <w:t>interventions</w:t>
      </w:r>
      <w:r>
        <w:rPr>
          <w:rFonts w:ascii="Times New Roman" w:hAnsi="Times New Roman" w:cs="Times New Roman"/>
          <w:color w:val="0B333C"/>
          <w:sz w:val="24"/>
          <w:szCs w:val="24"/>
        </w:rPr>
        <w:t>.</w:t>
      </w:r>
    </w:p>
    <w:p w:rsidR="005551E3" w:rsidRPr="005551E3" w:rsidRDefault="005551E3" w:rsidP="005551E3">
      <w:pPr>
        <w:pStyle w:val="ListParagraph"/>
        <w:numPr>
          <w:ilvl w:val="0"/>
          <w:numId w:val="1"/>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Demonstrates observation of electrical safety principles</w:t>
      </w:r>
      <w:r>
        <w:rPr>
          <w:rFonts w:ascii="Times New Roman" w:hAnsi="Times New Roman" w:cs="Times New Roman"/>
          <w:color w:val="0B333C"/>
          <w:sz w:val="24"/>
          <w:szCs w:val="24"/>
        </w:rPr>
        <w:t>.</w:t>
      </w:r>
    </w:p>
    <w:p w:rsidR="005551E3" w:rsidRPr="005551E3" w:rsidRDefault="005551E3" w:rsidP="005551E3">
      <w:pPr>
        <w:pStyle w:val="ListParagraph"/>
        <w:numPr>
          <w:ilvl w:val="0"/>
          <w:numId w:val="1"/>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Considers family presence during resuscitative attempts and offers that option to appropriate family</w:t>
      </w:r>
      <w:r w:rsidRPr="005551E3">
        <w:rPr>
          <w:rFonts w:ascii="Times New Roman" w:hAnsi="Times New Roman" w:cs="Times New Roman"/>
          <w:color w:val="0B333C"/>
          <w:sz w:val="24"/>
          <w:szCs w:val="24"/>
        </w:rPr>
        <w:t xml:space="preserve"> </w:t>
      </w:r>
      <w:r w:rsidRPr="005551E3">
        <w:rPr>
          <w:rFonts w:ascii="Times New Roman" w:hAnsi="Times New Roman" w:cs="Times New Roman"/>
          <w:color w:val="0B333C"/>
          <w:sz w:val="24"/>
          <w:szCs w:val="24"/>
        </w:rPr>
        <w:t>members</w:t>
      </w:r>
      <w:r>
        <w:rPr>
          <w:rFonts w:ascii="Times New Roman" w:hAnsi="Times New Roman" w:cs="Times New Roman"/>
          <w:color w:val="0B333C"/>
          <w:sz w:val="24"/>
          <w:szCs w:val="24"/>
        </w:rPr>
        <w:t>.</w:t>
      </w:r>
    </w:p>
    <w:p w:rsidR="005551E3" w:rsidRPr="005551E3" w:rsidRDefault="005551E3" w:rsidP="005551E3">
      <w:pPr>
        <w:pStyle w:val="ListParagraph"/>
        <w:numPr>
          <w:ilvl w:val="0"/>
          <w:numId w:val="1"/>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 xml:space="preserve">Discusses the use of </w:t>
      </w:r>
      <w:proofErr w:type="spellStart"/>
      <w:r w:rsidRPr="005551E3">
        <w:rPr>
          <w:rFonts w:ascii="Times New Roman" w:hAnsi="Times New Roman" w:cs="Times New Roman"/>
          <w:color w:val="0B333C"/>
          <w:sz w:val="24"/>
          <w:szCs w:val="24"/>
        </w:rPr>
        <w:t>fibrolytic</w:t>
      </w:r>
      <w:proofErr w:type="spellEnd"/>
      <w:r w:rsidRPr="005551E3">
        <w:rPr>
          <w:rFonts w:ascii="Times New Roman" w:hAnsi="Times New Roman" w:cs="Times New Roman"/>
          <w:color w:val="0B333C"/>
          <w:sz w:val="24"/>
          <w:szCs w:val="24"/>
        </w:rPr>
        <w:t xml:space="preserve"> and revascularization approaches to care</w:t>
      </w:r>
      <w:r>
        <w:rPr>
          <w:rFonts w:ascii="Times New Roman" w:hAnsi="Times New Roman" w:cs="Times New Roman"/>
          <w:color w:val="0B333C"/>
          <w:sz w:val="24"/>
          <w:szCs w:val="24"/>
        </w:rPr>
        <w:t>.</w:t>
      </w:r>
    </w:p>
    <w:p w:rsidR="005551E3" w:rsidRPr="005551E3" w:rsidRDefault="005551E3" w:rsidP="005551E3">
      <w:pPr>
        <w:pStyle w:val="ListParagraph"/>
        <w:numPr>
          <w:ilvl w:val="0"/>
          <w:numId w:val="1"/>
        </w:numPr>
        <w:autoSpaceDE w:val="0"/>
        <w:autoSpaceDN w:val="0"/>
        <w:adjustRightInd w:val="0"/>
        <w:spacing w:after="0" w:line="240" w:lineRule="auto"/>
        <w:rPr>
          <w:rFonts w:ascii="Times New Roman" w:hAnsi="Times New Roman" w:cs="Times New Roman"/>
          <w:b/>
          <w:bCs/>
          <w:color w:val="FF6633"/>
          <w:sz w:val="24"/>
          <w:szCs w:val="24"/>
        </w:rPr>
      </w:pPr>
      <w:r w:rsidRPr="005551E3">
        <w:rPr>
          <w:rFonts w:ascii="Times New Roman" w:hAnsi="Times New Roman" w:cs="Times New Roman"/>
          <w:color w:val="0B333C"/>
          <w:sz w:val="24"/>
          <w:szCs w:val="24"/>
        </w:rPr>
        <w:t>Follows local protocols</w:t>
      </w:r>
      <w:r w:rsidRPr="005551E3">
        <w:rPr>
          <w:rFonts w:ascii="Times New Roman" w:hAnsi="Times New Roman" w:cs="Times New Roman"/>
          <w:color w:val="0B333C"/>
          <w:sz w:val="24"/>
          <w:szCs w:val="24"/>
        </w:rPr>
        <w:t>.</w:t>
      </w:r>
    </w:p>
    <w:p w:rsidR="005551E3" w:rsidRPr="005551E3" w:rsidRDefault="005551E3" w:rsidP="005551E3">
      <w:pPr>
        <w:autoSpaceDE w:val="0"/>
        <w:autoSpaceDN w:val="0"/>
        <w:adjustRightInd w:val="0"/>
        <w:spacing w:after="0" w:line="240" w:lineRule="auto"/>
        <w:ind w:left="360"/>
        <w:rPr>
          <w:rFonts w:ascii="Times New Roman" w:hAnsi="Times New Roman" w:cs="Times New Roman"/>
          <w:b/>
          <w:bCs/>
          <w:color w:val="FF6633"/>
          <w:sz w:val="24"/>
          <w:szCs w:val="24"/>
        </w:rPr>
      </w:pPr>
      <w:r w:rsidRPr="005551E3">
        <w:rPr>
          <w:rFonts w:ascii="Times New Roman" w:hAnsi="Times New Roman" w:cs="Times New Roman"/>
          <w:b/>
          <w:bCs/>
          <w:color w:val="FF6633"/>
          <w:sz w:val="24"/>
          <w:szCs w:val="24"/>
        </w:rPr>
        <w:t>Preparation Questions</w:t>
      </w:r>
    </w:p>
    <w:p w:rsidR="005551E3" w:rsidRPr="005551E3" w:rsidRDefault="005551E3" w:rsidP="005551E3">
      <w:pPr>
        <w:pStyle w:val="ListParagraph"/>
        <w:numPr>
          <w:ilvl w:val="0"/>
          <w:numId w:val="2"/>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Describe the pathophysiology of angina.</w:t>
      </w:r>
    </w:p>
    <w:p w:rsidR="005551E3" w:rsidRPr="005551E3" w:rsidRDefault="005551E3" w:rsidP="005551E3">
      <w:pPr>
        <w:pStyle w:val="ListParagraph"/>
        <w:numPr>
          <w:ilvl w:val="0"/>
          <w:numId w:val="2"/>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What are modifiable and non-modifiable risk factors for angina?</w:t>
      </w:r>
    </w:p>
    <w:p w:rsidR="005551E3" w:rsidRPr="005551E3" w:rsidRDefault="005551E3" w:rsidP="005551E3">
      <w:pPr>
        <w:pStyle w:val="ListParagraph"/>
        <w:numPr>
          <w:ilvl w:val="0"/>
          <w:numId w:val="2"/>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Identify at least five common triggers for angina.</w:t>
      </w:r>
    </w:p>
    <w:p w:rsidR="005551E3" w:rsidRPr="005551E3" w:rsidRDefault="005551E3" w:rsidP="005551E3">
      <w:pPr>
        <w:pStyle w:val="ListParagraph"/>
        <w:numPr>
          <w:ilvl w:val="0"/>
          <w:numId w:val="2"/>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What assessments should be performed for a patient with angina?</w:t>
      </w:r>
    </w:p>
    <w:p w:rsidR="005551E3" w:rsidRPr="005551E3" w:rsidRDefault="005551E3" w:rsidP="005551E3">
      <w:pPr>
        <w:pStyle w:val="ListParagraph"/>
        <w:numPr>
          <w:ilvl w:val="0"/>
          <w:numId w:val="2"/>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Describe the differences between wheezes, crackles and rhonchi.</w:t>
      </w:r>
    </w:p>
    <w:p w:rsidR="005551E3" w:rsidRPr="005551E3" w:rsidRDefault="005551E3" w:rsidP="005551E3">
      <w:pPr>
        <w:pStyle w:val="ListParagraph"/>
        <w:numPr>
          <w:ilvl w:val="0"/>
          <w:numId w:val="2"/>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What is the pathophysiology behind each sound?</w:t>
      </w:r>
    </w:p>
    <w:p w:rsidR="005551E3" w:rsidRPr="005551E3" w:rsidRDefault="005551E3" w:rsidP="005551E3">
      <w:pPr>
        <w:pStyle w:val="ListParagraph"/>
        <w:numPr>
          <w:ilvl w:val="0"/>
          <w:numId w:val="2"/>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 xml:space="preserve">How could the learner determine if a patient's oxygen saturation is adequate if there is no pulse </w:t>
      </w:r>
      <w:proofErr w:type="spellStart"/>
      <w:r w:rsidRPr="005551E3">
        <w:rPr>
          <w:rFonts w:ascii="Times New Roman" w:hAnsi="Times New Roman" w:cs="Times New Roman"/>
          <w:color w:val="0B333C"/>
          <w:sz w:val="24"/>
          <w:szCs w:val="24"/>
        </w:rPr>
        <w:t>oximeter</w:t>
      </w:r>
      <w:proofErr w:type="spellEnd"/>
      <w:r w:rsidRPr="005551E3">
        <w:rPr>
          <w:rFonts w:ascii="Times New Roman" w:hAnsi="Times New Roman" w:cs="Times New Roman"/>
          <w:color w:val="0B333C"/>
          <w:sz w:val="24"/>
          <w:szCs w:val="24"/>
        </w:rPr>
        <w:t xml:space="preserve"> </w:t>
      </w:r>
      <w:r w:rsidRPr="005551E3">
        <w:rPr>
          <w:rFonts w:ascii="Times New Roman" w:hAnsi="Times New Roman" w:cs="Times New Roman"/>
          <w:color w:val="0B333C"/>
          <w:sz w:val="24"/>
          <w:szCs w:val="24"/>
        </w:rPr>
        <w:t>available?</w:t>
      </w:r>
    </w:p>
    <w:p w:rsidR="005551E3" w:rsidRPr="005551E3" w:rsidRDefault="005551E3" w:rsidP="005551E3">
      <w:pPr>
        <w:pStyle w:val="ListParagraph"/>
        <w:numPr>
          <w:ilvl w:val="0"/>
          <w:numId w:val="2"/>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What assessment information would indicate the patient's condition is worsening?</w:t>
      </w:r>
    </w:p>
    <w:p w:rsidR="005551E3" w:rsidRPr="005551E3" w:rsidRDefault="005551E3" w:rsidP="005551E3">
      <w:pPr>
        <w:pStyle w:val="ListParagraph"/>
        <w:numPr>
          <w:ilvl w:val="0"/>
          <w:numId w:val="2"/>
        </w:numPr>
        <w:autoSpaceDE w:val="0"/>
        <w:autoSpaceDN w:val="0"/>
        <w:adjustRightInd w:val="0"/>
        <w:spacing w:after="0" w:line="240" w:lineRule="auto"/>
        <w:rPr>
          <w:rFonts w:ascii="Times New Roman" w:hAnsi="Times New Roman" w:cs="Times New Roman"/>
          <w:color w:val="0B333C"/>
          <w:sz w:val="24"/>
          <w:szCs w:val="24"/>
        </w:rPr>
      </w:pPr>
      <w:r w:rsidRPr="005551E3">
        <w:rPr>
          <w:rFonts w:ascii="Times New Roman" w:hAnsi="Times New Roman" w:cs="Times New Roman"/>
          <w:color w:val="0B333C"/>
          <w:sz w:val="24"/>
          <w:szCs w:val="24"/>
        </w:rPr>
        <w:t>How does stress affect angina symptoms in some patients?</w:t>
      </w:r>
    </w:p>
    <w:p w:rsidR="005551E3" w:rsidRPr="005551E3" w:rsidRDefault="005551E3" w:rsidP="005551E3">
      <w:pPr>
        <w:pStyle w:val="ListParagraph"/>
        <w:numPr>
          <w:ilvl w:val="0"/>
          <w:numId w:val="2"/>
        </w:numPr>
      </w:pPr>
      <w:r w:rsidRPr="005551E3">
        <w:rPr>
          <w:rFonts w:ascii="Times New Roman" w:hAnsi="Times New Roman" w:cs="Times New Roman"/>
          <w:color w:val="0B333C"/>
          <w:sz w:val="24"/>
          <w:szCs w:val="24"/>
        </w:rPr>
        <w:t>Identify three priority teaching points related to health promotion for the patient with angina</w:t>
      </w:r>
      <w:r>
        <w:rPr>
          <w:rFonts w:ascii="Times New Roman" w:hAnsi="Times New Roman" w:cs="Times New Roman"/>
          <w:color w:val="0B333C"/>
          <w:sz w:val="24"/>
          <w:szCs w:val="24"/>
        </w:rPr>
        <w:t>.</w:t>
      </w:r>
    </w:p>
    <w:p w:rsidR="005551E3" w:rsidRDefault="005551E3" w:rsidP="005551E3">
      <w:pPr>
        <w:autoSpaceDE w:val="0"/>
        <w:autoSpaceDN w:val="0"/>
        <w:adjustRightInd w:val="0"/>
        <w:spacing w:after="0" w:line="240" w:lineRule="auto"/>
        <w:rPr>
          <w:rFonts w:ascii="Times New Roman" w:hAnsi="Times New Roman" w:cs="Times New Roman"/>
          <w:b/>
          <w:bCs/>
          <w:color w:val="FF6633"/>
          <w:sz w:val="30"/>
          <w:szCs w:val="30"/>
        </w:rPr>
      </w:pPr>
      <w:r>
        <w:rPr>
          <w:rFonts w:ascii="Times New Roman" w:hAnsi="Times New Roman" w:cs="Times New Roman"/>
          <w:b/>
          <w:bCs/>
          <w:color w:val="FF6633"/>
          <w:sz w:val="30"/>
          <w:szCs w:val="30"/>
        </w:rPr>
        <w:lastRenderedPageBreak/>
        <w:t>COPD Exacerbation with Respiratory Failure</w:t>
      </w:r>
    </w:p>
    <w:p w:rsidR="005551E3" w:rsidRDefault="005551E3" w:rsidP="005551E3">
      <w:pPr>
        <w:autoSpaceDE w:val="0"/>
        <w:autoSpaceDN w:val="0"/>
        <w:adjustRightInd w:val="0"/>
        <w:spacing w:after="0" w:line="240" w:lineRule="auto"/>
        <w:rPr>
          <w:rFonts w:ascii="Times New Roman" w:hAnsi="Times New Roman" w:cs="Times New Roman"/>
          <w:b/>
          <w:bCs/>
          <w:color w:val="1E1E1E"/>
          <w:sz w:val="24"/>
          <w:szCs w:val="24"/>
        </w:rPr>
      </w:pPr>
      <w:bookmarkStart w:id="0" w:name="_GoBack"/>
      <w:bookmarkEnd w:id="0"/>
      <w:r>
        <w:rPr>
          <w:rFonts w:ascii="Times New Roman" w:hAnsi="Times New Roman" w:cs="Times New Roman"/>
          <w:b/>
          <w:bCs/>
          <w:color w:val="1E1E1E"/>
          <w:sz w:val="24"/>
          <w:szCs w:val="24"/>
        </w:rPr>
        <w:t>Paul Conti</w:t>
      </w:r>
    </w:p>
    <w:p w:rsidR="005551E3" w:rsidRDefault="005551E3" w:rsidP="005551E3">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Age: </w:t>
      </w:r>
      <w:r>
        <w:rPr>
          <w:rFonts w:ascii="Times New Roman" w:hAnsi="Times New Roman" w:cs="Times New Roman"/>
          <w:b/>
          <w:bCs/>
          <w:color w:val="1E1E1E"/>
          <w:sz w:val="24"/>
          <w:szCs w:val="24"/>
        </w:rPr>
        <w:t>75 years</w:t>
      </w:r>
    </w:p>
    <w:p w:rsidR="005551E3" w:rsidRDefault="005551E3" w:rsidP="005551E3">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Weight: </w:t>
      </w:r>
      <w:r>
        <w:rPr>
          <w:rFonts w:ascii="Times New Roman" w:hAnsi="Times New Roman" w:cs="Times New Roman"/>
          <w:b/>
          <w:bCs/>
          <w:color w:val="1E1E1E"/>
          <w:sz w:val="24"/>
          <w:szCs w:val="24"/>
        </w:rPr>
        <w:t>100.0 kg</w:t>
      </w:r>
    </w:p>
    <w:p w:rsidR="005551E3" w:rsidRDefault="005551E3" w:rsidP="005551E3">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Base: </w:t>
      </w:r>
      <w:r>
        <w:rPr>
          <w:rFonts w:ascii="Times New Roman" w:hAnsi="Times New Roman" w:cs="Times New Roman"/>
          <w:b/>
          <w:bCs/>
          <w:color w:val="1E1E1E"/>
          <w:sz w:val="24"/>
          <w:szCs w:val="24"/>
        </w:rPr>
        <w:t xml:space="preserve">Stan D. </w:t>
      </w:r>
      <w:proofErr w:type="spellStart"/>
      <w:r>
        <w:rPr>
          <w:rFonts w:ascii="Times New Roman" w:hAnsi="Times New Roman" w:cs="Times New Roman"/>
          <w:b/>
          <w:bCs/>
          <w:color w:val="1E1E1E"/>
          <w:sz w:val="24"/>
          <w:szCs w:val="24"/>
        </w:rPr>
        <w:t>Ardman</w:t>
      </w:r>
      <w:proofErr w:type="spellEnd"/>
      <w:r>
        <w:rPr>
          <w:rFonts w:ascii="Times New Roman" w:hAnsi="Times New Roman" w:cs="Times New Roman"/>
          <w:b/>
          <w:bCs/>
          <w:color w:val="1E1E1E"/>
          <w:sz w:val="24"/>
          <w:szCs w:val="24"/>
        </w:rPr>
        <w:t xml:space="preserve"> II</w:t>
      </w:r>
    </w:p>
    <w:p w:rsidR="005551E3" w:rsidRDefault="005551E3" w:rsidP="005551E3">
      <w:pPr>
        <w:autoSpaceDE w:val="0"/>
        <w:autoSpaceDN w:val="0"/>
        <w:adjustRightInd w:val="0"/>
        <w:spacing w:after="0" w:line="240" w:lineRule="auto"/>
        <w:rPr>
          <w:rFonts w:ascii="Times New Roman" w:hAnsi="Times New Roman" w:cs="Times New Roman"/>
          <w:b/>
          <w:bCs/>
          <w:color w:val="1E1E1E"/>
          <w:sz w:val="30"/>
          <w:szCs w:val="30"/>
        </w:rPr>
      </w:pPr>
      <w:r>
        <w:rPr>
          <w:rFonts w:ascii="Times New Roman" w:hAnsi="Times New Roman" w:cs="Times New Roman"/>
          <w:b/>
          <w:bCs/>
          <w:color w:val="1E1E1E"/>
          <w:sz w:val="30"/>
          <w:szCs w:val="30"/>
        </w:rPr>
        <w:t>Overview</w:t>
      </w:r>
    </w:p>
    <w:p w:rsidR="005551E3" w:rsidRDefault="005551E3" w:rsidP="005551E3">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Synopsis</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This Simulated Clinical Experience (SCE) can take place in several locations, depending on the</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background</w:t>
      </w:r>
      <w:proofErr w:type="gramEnd"/>
      <w:r>
        <w:rPr>
          <w:rFonts w:ascii="Times New Roman" w:hAnsi="Times New Roman" w:cs="Times New Roman"/>
          <w:color w:val="0B333C"/>
          <w:sz w:val="24"/>
          <w:szCs w:val="24"/>
        </w:rPr>
        <w:t xml:space="preserve"> of the learner or healthcare provider. It can take place in the patient's home or in an</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ambulance</w:t>
      </w:r>
      <w:proofErr w:type="gramEnd"/>
      <w:r>
        <w:rPr>
          <w:rFonts w:ascii="Times New Roman" w:hAnsi="Times New Roman" w:cs="Times New Roman"/>
          <w:color w:val="0B333C"/>
          <w:sz w:val="24"/>
          <w:szCs w:val="24"/>
        </w:rPr>
        <w:t>, or the patient can be presented as a new arrival to the Emergency Department.</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The patient is a 75-year-old male who is complaining of worsening breath over the past few days. He has a history of emphysema that started after years of smoking. He had a myocardial infarction 12 years ago and an upper respiratory infection about two weeks ago. He continues to smoke two packs of unfiltered cigarettes per day. He uses home oxygen at 2LPM via nasal cannula. His respirations are labored and he is extremely short of breath.</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p>
    <w:p w:rsidR="005551E3" w:rsidRDefault="005551E3" w:rsidP="005551E3">
      <w:pPr>
        <w:autoSpaceDE w:val="0"/>
        <w:autoSpaceDN w:val="0"/>
        <w:adjustRightInd w:val="0"/>
        <w:spacing w:after="0" w:line="240" w:lineRule="auto"/>
        <w:rPr>
          <w:rFonts w:ascii="Times New Roman" w:hAnsi="Times New Roman" w:cs="Times New Roman"/>
          <w:b/>
          <w:bCs/>
          <w:color w:val="1E1E1E"/>
          <w:sz w:val="30"/>
          <w:szCs w:val="30"/>
        </w:rPr>
      </w:pPr>
      <w:r>
        <w:rPr>
          <w:rFonts w:ascii="Times New Roman" w:hAnsi="Times New Roman" w:cs="Times New Roman"/>
          <w:b/>
          <w:bCs/>
          <w:color w:val="1E1E1E"/>
          <w:sz w:val="30"/>
          <w:szCs w:val="30"/>
        </w:rPr>
        <w:t>Preparation</w:t>
      </w:r>
    </w:p>
    <w:p w:rsidR="005551E3" w:rsidRDefault="005551E3" w:rsidP="005551E3">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Learning Objectives</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States the precautions needed for oxygen therapy and fluid administration for a patient with long-term COPD.</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Uses patient history and assessment data to plan and provide care for a patient with COPD who develops respiratory failure.</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Anticipates diagnostic orders and therapies, including medications, for the patient with an acute</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exacerbation</w:t>
      </w:r>
      <w:proofErr w:type="gramEnd"/>
      <w:r>
        <w:rPr>
          <w:rFonts w:ascii="Times New Roman" w:hAnsi="Times New Roman" w:cs="Times New Roman"/>
          <w:color w:val="0B333C"/>
          <w:sz w:val="24"/>
          <w:szCs w:val="24"/>
        </w:rPr>
        <w:t xml:space="preserve"> of COPD.</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Discusses the cardiac consequences of long-term emphysema.</w:t>
      </w:r>
      <w:proofErr w:type="gramEnd"/>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States the appropriate rationale for endotracheal intubation for the patient in respiratory failure.</w:t>
      </w:r>
      <w:proofErr w:type="gramEnd"/>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Analyzes the event history, assessment findings and arterial blood gas results to anticipate, prepare for and assist with endotracheal intubation.</w:t>
      </w:r>
    </w:p>
    <w:p w:rsidR="005551E3" w:rsidRDefault="005551E3" w:rsidP="005551E3">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color w:val="0B333C"/>
          <w:sz w:val="24"/>
          <w:szCs w:val="24"/>
        </w:rPr>
        <w:t>Attaches to cardiac monitor</w:t>
      </w:r>
    </w:p>
    <w:p w:rsidR="005551E3" w:rsidRDefault="005551E3" w:rsidP="005551E3">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Preparation Questions</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Describe the pathophysiology of chronic obstructive pulmonary disease (COPD).</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are modifiable and non-modifiable risk factors for COPD?</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Identify at least five common triggers for COPD.</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assessments should be performed for a patient with COPD?</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Describe the differences between wheezes, crackles and rhonchi.</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is the pathophysiology behind each sound?</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 xml:space="preserve">How could the learner determine if a patient's oxygen saturation is adequate if there is no pulse </w:t>
      </w:r>
      <w:proofErr w:type="spellStart"/>
      <w:r>
        <w:rPr>
          <w:rFonts w:ascii="Times New Roman" w:hAnsi="Times New Roman" w:cs="Times New Roman"/>
          <w:color w:val="0B333C"/>
          <w:sz w:val="24"/>
          <w:szCs w:val="24"/>
        </w:rPr>
        <w:t>oximeter</w:t>
      </w:r>
      <w:proofErr w:type="spellEnd"/>
      <w:r>
        <w:rPr>
          <w:rFonts w:ascii="Times New Roman" w:hAnsi="Times New Roman" w:cs="Times New Roman"/>
          <w:color w:val="0B333C"/>
          <w:sz w:val="24"/>
          <w:szCs w:val="24"/>
        </w:rPr>
        <w:t xml:space="preserve"> available?</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assessment information would indicate the patient's condition is worsening?</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How does stress affect COPD symptoms in some patients?</w:t>
      </w:r>
    </w:p>
    <w:p w:rsidR="005551E3" w:rsidRDefault="005551E3" w:rsidP="005551E3">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Identify three priority teaching points related to health promotion for the patient with COPD.</w:t>
      </w:r>
    </w:p>
    <w:p w:rsidR="005551E3" w:rsidRDefault="005551E3" w:rsidP="005551E3"/>
    <w:sectPr w:rsidR="00555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468"/>
    <w:multiLevelType w:val="hybridMultilevel"/>
    <w:tmpl w:val="A20C2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8B6C0B"/>
    <w:multiLevelType w:val="hybridMultilevel"/>
    <w:tmpl w:val="C42E8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E3"/>
    <w:rsid w:val="00123D7D"/>
    <w:rsid w:val="0055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1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2012-04-02T20:47:00Z</dcterms:created>
  <dcterms:modified xsi:type="dcterms:W3CDTF">2012-04-02T20:55:00Z</dcterms:modified>
</cp:coreProperties>
</file>