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Pr="00743BDD" w:rsidRDefault="00743BDD" w:rsidP="00053657">
      <w:pPr>
        <w:rPr>
          <w:rFonts w:ascii="Times New Roman" w:hAnsi="Times New Roman" w:cs="Times New Roman"/>
          <w:color w:val="FF0000"/>
          <w:sz w:val="24"/>
          <w:szCs w:val="24"/>
        </w:rPr>
      </w:pPr>
      <w:r w:rsidRPr="00743BDD">
        <w:rPr>
          <w:rFonts w:ascii="Times New Roman" w:hAnsi="Times New Roman" w:cs="Times New Roman"/>
          <w:color w:val="FF0000"/>
          <w:sz w:val="24"/>
          <w:szCs w:val="24"/>
        </w:rPr>
        <w:t>29.75/30 good job</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D44EB0" w:rsidP="00053657">
      <w:pPr>
        <w:rPr>
          <w:rFonts w:ascii="Times New Roman" w:hAnsi="Times New Roman" w:cs="Times New Roman"/>
          <w:sz w:val="24"/>
          <w:szCs w:val="24"/>
        </w:rPr>
      </w:pPr>
      <w:r>
        <w:rPr>
          <w:rFonts w:ascii="Times New Roman" w:hAnsi="Times New Roman" w:cs="Times New Roman"/>
          <w:sz w:val="24"/>
          <w:szCs w:val="24"/>
        </w:rPr>
        <w:t>March 2</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071DC1" w:rsidP="008627D0">
      <w:pP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083594">
        <w:rPr>
          <w:rFonts w:ascii="Times New Roman" w:hAnsi="Times New Roman" w:cs="Times New Roman"/>
          <w:sz w:val="24"/>
          <w:szCs w:val="24"/>
        </w:rPr>
        <w:t>9.6</w:t>
      </w:r>
    </w:p>
    <w:p w:rsidR="000451B0" w:rsidRDefault="00083594"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FE55D0">
        <w:rPr>
          <w:rFonts w:ascii="Times New Roman" w:hAnsi="Times New Roman" w:cs="Times New Roman"/>
          <w:sz w:val="24"/>
          <w:szCs w:val="24"/>
        </w:rPr>
        <w:t xml:space="preserve">      </w:t>
      </w:r>
      <w:r w:rsidR="00E37C40">
        <w:rPr>
          <w:rFonts w:ascii="Times New Roman" w:hAnsi="Times New Roman" w:cs="Times New Roman"/>
          <w:sz w:val="24"/>
          <w:szCs w:val="24"/>
        </w:rPr>
        <w:t xml:space="preserve"> </w:t>
      </w:r>
      <w:r w:rsidR="00FE55D0">
        <w:rPr>
          <w:rFonts w:ascii="Times New Roman" w:hAnsi="Times New Roman" w:cs="Times New Roman"/>
          <w:sz w:val="24"/>
          <w:szCs w:val="24"/>
        </w:rPr>
        <w:t xml:space="preserve">According to </w:t>
      </w:r>
      <w:proofErr w:type="spellStart"/>
      <w:r w:rsidR="00FE55D0">
        <w:rPr>
          <w:rFonts w:ascii="Times New Roman" w:hAnsi="Times New Roman" w:cs="Times New Roman"/>
          <w:sz w:val="24"/>
          <w:szCs w:val="24"/>
        </w:rPr>
        <w:t>Mauk</w:t>
      </w:r>
      <w:proofErr w:type="spellEnd"/>
      <w:r w:rsidR="00FE55D0">
        <w:rPr>
          <w:rFonts w:ascii="Times New Roman" w:hAnsi="Times New Roman" w:cs="Times New Roman"/>
          <w:sz w:val="24"/>
          <w:szCs w:val="24"/>
        </w:rPr>
        <w:t xml:space="preserve"> (2010), three essential recommendations exist for the prevention of osteoporosis. These recommendations include eating healthy, especially getting plenty of calcium and vitamin D, avoiding smoking or heavy alcohol consumption, and getting adequate amount</w:t>
      </w:r>
      <w:r w:rsidR="00553EA1">
        <w:rPr>
          <w:rFonts w:ascii="Times New Roman" w:hAnsi="Times New Roman" w:cs="Times New Roman"/>
          <w:sz w:val="24"/>
          <w:szCs w:val="24"/>
        </w:rPr>
        <w:t>s</w:t>
      </w:r>
      <w:r w:rsidR="00FE55D0">
        <w:rPr>
          <w:rFonts w:ascii="Times New Roman" w:hAnsi="Times New Roman" w:cs="Times New Roman"/>
          <w:sz w:val="24"/>
          <w:szCs w:val="24"/>
        </w:rPr>
        <w:t xml:space="preserve"> of exercise, particularly weight-bearing exercise. </w:t>
      </w:r>
      <w:r w:rsidR="00E37C40">
        <w:rPr>
          <w:rFonts w:ascii="Times New Roman" w:hAnsi="Times New Roman" w:cs="Times New Roman"/>
          <w:sz w:val="24"/>
          <w:szCs w:val="24"/>
        </w:rPr>
        <w:t>Essentially, by consuming lots of dairy products, working in a garden, and forgoing cigarettes and alcohol, Violet was taking the necessary steps to prevent osteoporosis.</w:t>
      </w:r>
    </w:p>
    <w:p w:rsidR="00E37C40" w:rsidRDefault="00E37C40"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states that osteoporosis risk factors include “being thin and/or having a small frame,” “being female,” and “being white or Asian, although African American and Hispanic Americans are at significant risk as well” (p. 427). Lillian is suggesting that race, body frame, and gender can all contribute to osteoporosis, and she is correct. Other risk factors include old age, deficient vitamin D or calcium intake, a sedentary lifestyle, smoking or excessive alcohol consumption, and low testosterone</w:t>
      </w:r>
      <w:r w:rsidR="00553EA1">
        <w:rPr>
          <w:rFonts w:ascii="Times New Roman" w:hAnsi="Times New Roman" w:cs="Times New Roman"/>
          <w:sz w:val="24"/>
          <w:szCs w:val="24"/>
        </w:rPr>
        <w:t xml:space="preserve"> levels</w:t>
      </w:r>
      <w:r>
        <w:rPr>
          <w:rFonts w:ascii="Times New Roman" w:hAnsi="Times New Roman" w:cs="Times New Roman"/>
          <w:sz w:val="24"/>
          <w:szCs w:val="24"/>
        </w:rPr>
        <w:t xml:space="preserve">. </w:t>
      </w:r>
    </w:p>
    <w:p w:rsidR="003F7858" w:rsidRDefault="00E37C40"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3F7858">
        <w:rPr>
          <w:rFonts w:ascii="Times New Roman" w:hAnsi="Times New Roman" w:cs="Times New Roman"/>
          <w:sz w:val="24"/>
          <w:szCs w:val="24"/>
        </w:rPr>
        <w:t>Dual-emission X-ray absorptiometry (DXA, formerly DEXA) uses two thin, low dose X-ray beams to absorb bone and soft tissue of a specific bone being examined. The percent of bone and soft tissue is subtracted out to obtain bone mass density (BMD)</w:t>
      </w:r>
      <w:r w:rsidR="00D50C0F">
        <w:rPr>
          <w:rFonts w:ascii="Times New Roman" w:hAnsi="Times New Roman" w:cs="Times New Roman"/>
          <w:sz w:val="24"/>
          <w:szCs w:val="24"/>
        </w:rPr>
        <w:t xml:space="preserve"> with a t score</w:t>
      </w:r>
      <w:r w:rsidR="003F7858">
        <w:rPr>
          <w:rFonts w:ascii="Times New Roman" w:hAnsi="Times New Roman" w:cs="Times New Roman"/>
          <w:sz w:val="24"/>
          <w:szCs w:val="24"/>
        </w:rPr>
        <w:t>.</w:t>
      </w:r>
      <w:r w:rsidR="00AB00A1">
        <w:rPr>
          <w:rFonts w:ascii="Times New Roman" w:hAnsi="Times New Roman" w:cs="Times New Roman"/>
          <w:sz w:val="24"/>
          <w:szCs w:val="24"/>
        </w:rPr>
        <w:t xml:space="preserve"> (</w:t>
      </w:r>
      <w:proofErr w:type="spellStart"/>
      <w:r w:rsidR="00AB00A1">
        <w:rPr>
          <w:rFonts w:ascii="Times New Roman" w:hAnsi="Times New Roman" w:cs="Times New Roman"/>
          <w:sz w:val="24"/>
          <w:szCs w:val="24"/>
        </w:rPr>
        <w:t>MedFlux</w:t>
      </w:r>
      <w:proofErr w:type="spellEnd"/>
      <w:r w:rsidR="00AB00A1">
        <w:rPr>
          <w:rFonts w:ascii="Times New Roman" w:hAnsi="Times New Roman" w:cs="Times New Roman"/>
          <w:sz w:val="24"/>
          <w:szCs w:val="24"/>
        </w:rPr>
        <w:t>, 2008)</w:t>
      </w:r>
    </w:p>
    <w:p w:rsidR="00E37C40" w:rsidRDefault="003F7858"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D50C0F">
        <w:rPr>
          <w:rFonts w:ascii="Times New Roman" w:hAnsi="Times New Roman" w:cs="Times New Roman"/>
          <w:sz w:val="24"/>
          <w:szCs w:val="24"/>
        </w:rPr>
        <w:t xml:space="preserve">According to </w:t>
      </w:r>
      <w:proofErr w:type="spellStart"/>
      <w:r w:rsidR="00D50C0F">
        <w:rPr>
          <w:rFonts w:ascii="Times New Roman" w:hAnsi="Times New Roman" w:cs="Times New Roman"/>
          <w:sz w:val="24"/>
          <w:szCs w:val="24"/>
        </w:rPr>
        <w:t>Mauk</w:t>
      </w:r>
      <w:proofErr w:type="spellEnd"/>
      <w:r w:rsidR="00D50C0F">
        <w:rPr>
          <w:rFonts w:ascii="Times New Roman" w:hAnsi="Times New Roman" w:cs="Times New Roman"/>
          <w:sz w:val="24"/>
          <w:szCs w:val="24"/>
        </w:rPr>
        <w:t xml:space="preserve"> (2010), a deficiency in estrogen, “especially early or surgically induced” is a risk factor related to osteoporosis (p. 427). A hysterectomy </w:t>
      </w:r>
      <w:r w:rsidR="00E878E2">
        <w:rPr>
          <w:rFonts w:ascii="Times New Roman" w:hAnsi="Times New Roman" w:cs="Times New Roman"/>
          <w:sz w:val="24"/>
          <w:szCs w:val="24"/>
        </w:rPr>
        <w:t>involving the removal of the ovaries will cause a woman to enter menopause after the hysterectomy.</w:t>
      </w:r>
      <w:r w:rsidR="00553EA1">
        <w:rPr>
          <w:rFonts w:ascii="Times New Roman" w:hAnsi="Times New Roman" w:cs="Times New Roman"/>
          <w:sz w:val="24"/>
          <w:szCs w:val="24"/>
        </w:rPr>
        <w:t xml:space="preserve"> A hysterectomy without the removal of the ovaries will cause a woman to go into early menopause as well.</w:t>
      </w:r>
      <w:r w:rsidR="00E878E2">
        <w:rPr>
          <w:rFonts w:ascii="Times New Roman" w:hAnsi="Times New Roman" w:cs="Times New Roman"/>
          <w:sz w:val="24"/>
          <w:szCs w:val="24"/>
        </w:rPr>
        <w:t xml:space="preserve"> Menopause causes a decrease in estrogen production. Therefore, it is </w:t>
      </w:r>
      <w:r w:rsidR="00E878E2">
        <w:rPr>
          <w:rFonts w:ascii="Times New Roman" w:hAnsi="Times New Roman" w:cs="Times New Roman"/>
          <w:sz w:val="24"/>
          <w:szCs w:val="24"/>
        </w:rPr>
        <w:lastRenderedPageBreak/>
        <w:t>essential for any middle-aged woman who undergoes a hysterectomy to be screened for osteoporosis because she will enter menopause earlier, and can develop osteoporosis earlier too.</w:t>
      </w:r>
    </w:p>
    <w:p w:rsidR="00E878E2" w:rsidRDefault="00E878E2"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4B5C94">
        <w:rPr>
          <w:rFonts w:ascii="Times New Roman" w:hAnsi="Times New Roman" w:cs="Times New Roman"/>
          <w:sz w:val="24"/>
          <w:szCs w:val="24"/>
        </w:rPr>
        <w:t xml:space="preserve">According to </w:t>
      </w:r>
      <w:r w:rsidR="004B5C94" w:rsidRPr="004B5C94">
        <w:rPr>
          <w:rFonts w:ascii="Times New Roman" w:hAnsi="Times New Roman" w:cs="Times New Roman"/>
          <w:i/>
          <w:sz w:val="24"/>
          <w:szCs w:val="24"/>
        </w:rPr>
        <w:t>Mosby’s 2012 Nursing Drug Reference</w:t>
      </w:r>
      <w:r w:rsidR="004B5C94">
        <w:rPr>
          <w:rFonts w:ascii="Times New Roman" w:hAnsi="Times New Roman" w:cs="Times New Roman"/>
          <w:sz w:val="24"/>
          <w:szCs w:val="24"/>
        </w:rPr>
        <w:t xml:space="preserve"> (2011), Os-Cal is an antacid and calcium supplement. It is given by mouth and usually 1000-1500 mg per day is given. Os-Cal works by </w:t>
      </w:r>
      <w:r w:rsidR="005E6DFB">
        <w:rPr>
          <w:rFonts w:ascii="Times New Roman" w:hAnsi="Times New Roman" w:cs="Times New Roman"/>
          <w:sz w:val="24"/>
          <w:szCs w:val="24"/>
        </w:rPr>
        <w:t xml:space="preserve">“neutralizing gastric </w:t>
      </w:r>
      <w:commentRangeStart w:id="0"/>
      <w:r w:rsidR="005E6DFB">
        <w:rPr>
          <w:rFonts w:ascii="Times New Roman" w:hAnsi="Times New Roman" w:cs="Times New Roman"/>
          <w:sz w:val="24"/>
          <w:szCs w:val="24"/>
        </w:rPr>
        <w:t>acidity</w:t>
      </w:r>
      <w:commentRangeEnd w:id="0"/>
      <w:r w:rsidR="00CD326F">
        <w:rPr>
          <w:rStyle w:val="CommentReference"/>
        </w:rPr>
        <w:commentReference w:id="0"/>
      </w:r>
      <w:r w:rsidR="005E6DFB">
        <w:rPr>
          <w:rFonts w:ascii="Times New Roman" w:hAnsi="Times New Roman" w:cs="Times New Roman"/>
          <w:sz w:val="24"/>
          <w:szCs w:val="24"/>
        </w:rPr>
        <w:t xml:space="preserve">” (p. 230). </w:t>
      </w:r>
      <w:r>
        <w:rPr>
          <w:rFonts w:ascii="Times New Roman" w:hAnsi="Times New Roman" w:cs="Times New Roman"/>
          <w:sz w:val="24"/>
          <w:szCs w:val="24"/>
        </w:rPr>
        <w:t xml:space="preserve"> </w:t>
      </w:r>
      <w:r w:rsidR="005E6DFB">
        <w:rPr>
          <w:rFonts w:ascii="Times New Roman" w:hAnsi="Times New Roman" w:cs="Times New Roman"/>
          <w:sz w:val="24"/>
          <w:szCs w:val="24"/>
        </w:rPr>
        <w:t xml:space="preserve">Reclast is a bisphosphonate or bone-resorption inhibitor. It inhibits osteoclast activity and bone reabsorption. It is given in an IV infusion once every year for the prevention of osteoporosis. Evista is bone resorption inhibitor, hormone modifier, and selective estrogen receptor modulator (SERM). It is a bone and lipid metabolism agonist. It is given in a 60 mg tablet once every day. </w:t>
      </w:r>
    </w:p>
    <w:p w:rsidR="005E6DFB" w:rsidRDefault="005E6DFB"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B, because it is necessary to remain upright for at least 30 minutes after taking this medication to “prevent esophageal irritation” (Skidmore-Roth, </w:t>
      </w:r>
      <w:commentRangeStart w:id="1"/>
      <w:r>
        <w:rPr>
          <w:rFonts w:ascii="Times New Roman" w:hAnsi="Times New Roman" w:cs="Times New Roman"/>
          <w:sz w:val="24"/>
          <w:szCs w:val="24"/>
        </w:rPr>
        <w:t>2011</w:t>
      </w:r>
      <w:commentRangeEnd w:id="1"/>
      <w:r w:rsidR="00CD326F">
        <w:rPr>
          <w:rStyle w:val="CommentReference"/>
        </w:rPr>
        <w:commentReference w:id="1"/>
      </w:r>
      <w:r>
        <w:rPr>
          <w:rFonts w:ascii="Times New Roman" w:hAnsi="Times New Roman" w:cs="Times New Roman"/>
          <w:sz w:val="24"/>
          <w:szCs w:val="24"/>
        </w:rPr>
        <w:t xml:space="preserve">). </w:t>
      </w:r>
    </w:p>
    <w:p w:rsidR="005E6DFB" w:rsidRDefault="005E6DFB"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575FFA">
        <w:rPr>
          <w:rFonts w:ascii="Times New Roman" w:hAnsi="Times New Roman" w:cs="Times New Roman"/>
          <w:sz w:val="24"/>
          <w:szCs w:val="24"/>
        </w:rPr>
        <w:t xml:space="preserve">According to the National Osteoporosis Foundation (NOF, 2008), safety tips for </w:t>
      </w:r>
      <w:r w:rsidR="005369D5">
        <w:rPr>
          <w:rFonts w:ascii="Times New Roman" w:hAnsi="Times New Roman" w:cs="Times New Roman"/>
          <w:sz w:val="24"/>
          <w:szCs w:val="24"/>
        </w:rPr>
        <w:t xml:space="preserve">reducing </w:t>
      </w:r>
      <w:r w:rsidR="00575FFA">
        <w:rPr>
          <w:rFonts w:ascii="Times New Roman" w:hAnsi="Times New Roman" w:cs="Times New Roman"/>
          <w:sz w:val="24"/>
          <w:szCs w:val="24"/>
        </w:rPr>
        <w:t xml:space="preserve">falls and injuries related to osteoporosis include using assistive devices as necessary and using them correctly, keeping rooms well lit, wearing flat shoes with good traction, removing rugs and securing carpeting, using handrails, keeping commonly used items close by, and keeping walkways clear and clutter free. </w:t>
      </w:r>
    </w:p>
    <w:p w:rsidR="00575FFA" w:rsidRDefault="00575FFA" w:rsidP="00083594">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 xml:space="preserve">          </w:t>
      </w:r>
      <w:r w:rsidR="00AE1FD6">
        <w:rPr>
          <w:rFonts w:ascii="Times New Roman" w:hAnsi="Times New Roman" w:cs="Times New Roman"/>
          <w:sz w:val="24"/>
          <w:szCs w:val="24"/>
        </w:rPr>
        <w:t xml:space="preserve">According to the American Academy of Orthopedic Surgeons (AAOS, 2009), osteoporosis is considered a national public health issue because of the incredibly vast number of people who suffer from osteoporosis and who are at risk for developing osteoporosis. Osteoporosis affects over 200 million people worldwide. </w:t>
      </w:r>
      <w:proofErr w:type="spellStart"/>
      <w:r w:rsidR="00AE1FD6">
        <w:rPr>
          <w:rFonts w:ascii="Times New Roman" w:hAnsi="Times New Roman" w:cs="Times New Roman"/>
          <w:sz w:val="24"/>
          <w:szCs w:val="24"/>
        </w:rPr>
        <w:t>Mauk</w:t>
      </w:r>
      <w:proofErr w:type="spellEnd"/>
      <w:r w:rsidR="00AE1FD6">
        <w:rPr>
          <w:rFonts w:ascii="Times New Roman" w:hAnsi="Times New Roman" w:cs="Times New Roman"/>
          <w:sz w:val="24"/>
          <w:szCs w:val="24"/>
        </w:rPr>
        <w:t xml:space="preserve"> (2010) states that over 44 million people, or “55% of adults age 50 or over” have osteoporosis in </w:t>
      </w:r>
      <w:r w:rsidR="00AE1FD6">
        <w:rPr>
          <w:rFonts w:ascii="Times New Roman" w:hAnsi="Times New Roman" w:cs="Times New Roman"/>
          <w:sz w:val="24"/>
          <w:szCs w:val="24"/>
        </w:rPr>
        <w:lastRenderedPageBreak/>
        <w:t xml:space="preserve">the United States (p. 426). The AAOS (2008) </w:t>
      </w:r>
      <w:r w:rsidR="00553EA1">
        <w:rPr>
          <w:rFonts w:ascii="Times New Roman" w:hAnsi="Times New Roman" w:cs="Times New Roman"/>
          <w:sz w:val="24"/>
          <w:szCs w:val="24"/>
        </w:rPr>
        <w:t xml:space="preserve">also </w:t>
      </w:r>
      <w:r w:rsidR="00AE1FD6">
        <w:rPr>
          <w:rFonts w:ascii="Times New Roman" w:hAnsi="Times New Roman" w:cs="Times New Roman"/>
          <w:sz w:val="24"/>
          <w:szCs w:val="24"/>
        </w:rPr>
        <w:t xml:space="preserve">states another 18 millions people are at risk. Even another 34 million people in the United States are at risk for developing osteopenia as well (AAOS, 2008). </w:t>
      </w:r>
      <w:r w:rsidR="00CD326F">
        <w:rPr>
          <w:rFonts w:ascii="Times New Roman" w:hAnsi="Times New Roman" w:cs="Times New Roman"/>
          <w:color w:val="FF0000"/>
          <w:sz w:val="24"/>
          <w:szCs w:val="24"/>
        </w:rPr>
        <w:t>And now the Baby Boomers are aging.</w:t>
      </w: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FA5B59" w:rsidRDefault="00FA5B59" w:rsidP="00FA5B59">
      <w:pPr>
        <w:jc w:val="both"/>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557289" w:rsidRDefault="00557289" w:rsidP="00557289">
      <w:pPr>
        <w:jc w:val="both"/>
        <w:rPr>
          <w:rFonts w:ascii="Times New Roman" w:hAnsi="Times New Roman" w:cs="Times New Roman"/>
          <w:sz w:val="24"/>
          <w:szCs w:val="24"/>
        </w:rPr>
      </w:pPr>
    </w:p>
    <w:p w:rsidR="00E878E2" w:rsidRDefault="00E878E2" w:rsidP="00557289">
      <w:pPr>
        <w:rPr>
          <w:rFonts w:ascii="Times New Roman" w:hAnsi="Times New Roman" w:cs="Times New Roman"/>
          <w:sz w:val="24"/>
          <w:szCs w:val="24"/>
        </w:rPr>
      </w:pPr>
    </w:p>
    <w:p w:rsidR="00E878E2" w:rsidRDefault="00E47CFE" w:rsidP="001672C9">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Case Study 11.5</w:t>
      </w:r>
    </w:p>
    <w:p w:rsidR="00E878E2" w:rsidRDefault="001672C9" w:rsidP="001672C9">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w:t>
      </w:r>
      <w:r w:rsidR="0027607D">
        <w:rPr>
          <w:rFonts w:ascii="Times New Roman" w:hAnsi="Times New Roman" w:cs="Times New Roman"/>
          <w:sz w:val="24"/>
          <w:szCs w:val="24"/>
        </w:rPr>
        <w:t xml:space="preserve"> The findings to be of concern are his increased serum glucose, cholesterol levels, blood urea nitrogen (BUN), decreased pedal pulses, and body mass index (BMI). His blood pressure is elevated, as well as his hemoglobin </w:t>
      </w:r>
      <w:proofErr w:type="gramStart"/>
      <w:r w:rsidR="0027607D">
        <w:rPr>
          <w:rFonts w:ascii="Times New Roman" w:hAnsi="Times New Roman" w:cs="Times New Roman"/>
          <w:sz w:val="24"/>
          <w:szCs w:val="24"/>
        </w:rPr>
        <w:t>A1c</w:t>
      </w:r>
      <w:proofErr w:type="gramEnd"/>
      <w:r w:rsidR="0027607D">
        <w:rPr>
          <w:rFonts w:ascii="Times New Roman" w:hAnsi="Times New Roman" w:cs="Times New Roman"/>
          <w:sz w:val="24"/>
          <w:szCs w:val="24"/>
        </w:rPr>
        <w:t xml:space="preserve"> (HbA1c) and creatinine. </w:t>
      </w:r>
      <w:r w:rsidR="005E63FF">
        <w:rPr>
          <w:rFonts w:ascii="Times New Roman" w:hAnsi="Times New Roman" w:cs="Times New Roman"/>
          <w:sz w:val="24"/>
          <w:szCs w:val="24"/>
        </w:rPr>
        <w:t xml:space="preserve">He is also a smoker and has high triglycerides. </w:t>
      </w:r>
      <w:r w:rsidR="0027607D">
        <w:rPr>
          <w:rFonts w:ascii="Times New Roman" w:hAnsi="Times New Roman" w:cs="Times New Roman"/>
          <w:sz w:val="24"/>
          <w:szCs w:val="24"/>
        </w:rPr>
        <w:t xml:space="preserve">An elevated blood glucose level over an extended period of time can break down the kidneys, causing them to function less efficiently. Elevated levels of serum glucose, BUN, and creatinine indicate decreased kidney function. Discrepancies between radial and pedal pulses can indicate blood is not being pumped efficiently to the peripherals of the body. Shortness of breath with little physical exertion can also be indicative of ineffective tissue perfusion. </w:t>
      </w:r>
      <w:r w:rsidR="005E63FF">
        <w:rPr>
          <w:rFonts w:ascii="Times New Roman" w:hAnsi="Times New Roman" w:cs="Times New Roman"/>
          <w:sz w:val="24"/>
          <w:szCs w:val="24"/>
        </w:rPr>
        <w:t>A high level of triglycerides will only worsen his coronary artery disease and diabetes.</w:t>
      </w:r>
    </w:p>
    <w:p w:rsidR="00A67ED5" w:rsidRDefault="0027607D" w:rsidP="001672C9">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According to Smith and Cotter (2008), </w:t>
      </w:r>
      <w:r w:rsidR="00A67ED5">
        <w:rPr>
          <w:rFonts w:ascii="Times New Roman" w:hAnsi="Times New Roman" w:cs="Times New Roman"/>
          <w:sz w:val="24"/>
          <w:szCs w:val="24"/>
        </w:rPr>
        <w:t xml:space="preserve">fatigue, shortness of breath, risk of hypertension, decreased renal function, including creatinine clearance, decreased cardiac output, and decreased muscle mass and strength are all age related changes within the body. Therefore, elevated BUN and creatinine could be due to normal, age related changes. A difference in radial and pedal pulses could also be age related due to decreased cardiac output, as well as an elevated blood pressure. </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D326F">
        <w:rPr>
          <w:rFonts w:ascii="ITCGaramondStd-Bk" w:hAnsi="ITCGaramondStd-Bk" w:cs="ITCGaramondStd-Bk"/>
          <w:color w:val="FF0000"/>
          <w:sz w:val="20"/>
          <w:szCs w:val="20"/>
        </w:rPr>
        <w:t>Age-Associated Cardiovascular Changes/</w:t>
      </w:r>
      <w:r w:rsidRPr="00CD326F">
        <w:rPr>
          <w:rFonts w:ascii="ITCGaramondStd-BkIta" w:hAnsi="ITCGaramondStd-BkIta" w:cs="ITCGaramondStd-BkIta"/>
          <w:i/>
          <w:iCs/>
          <w:color w:val="FF0000"/>
          <w:sz w:val="20"/>
          <w:szCs w:val="20"/>
        </w:rPr>
        <w:t>Isolated systolic hypertension</w:t>
      </w:r>
      <w:r w:rsidRPr="00CD326F">
        <w:rPr>
          <w:rFonts w:ascii="ITCGaramondStd-Bk" w:hAnsi="ITCGaramondStd-Bk" w:cs="ITCGaramondStd-Bk"/>
          <w:color w:val="FF0000"/>
          <w:sz w:val="20"/>
          <w:szCs w:val="20"/>
        </w:rPr>
        <w:t xml:space="preserve">: systolic BP </w:t>
      </w:r>
      <w:r w:rsidRPr="00CD326F">
        <w:rPr>
          <w:rFonts w:ascii="MathematicalPi-One" w:eastAsia="MathematicalPi-One" w:hAnsi="ITCGaramondStd-Bk" w:cs="MathematicalPi-One" w:hint="eastAsia"/>
          <w:color w:val="FF0000"/>
          <w:sz w:val="20"/>
          <w:szCs w:val="20"/>
        </w:rPr>
        <w:t></w:t>
      </w:r>
      <w:r w:rsidRPr="00CD326F">
        <w:rPr>
          <w:rFonts w:ascii="ITCGaramondStd-Bk" w:hAnsi="ITCGaramondStd-Bk" w:cs="ITCGaramondStd-Bk"/>
          <w:color w:val="FF0000"/>
          <w:sz w:val="20"/>
          <w:szCs w:val="20"/>
        </w:rPr>
        <w:t xml:space="preserve">140 mmHg and diastolic BP </w:t>
      </w:r>
      <w:r w:rsidRPr="00CD326F">
        <w:rPr>
          <w:rFonts w:ascii="MathematicalPi-One" w:eastAsia="MathematicalPi-One" w:hAnsi="ITCGaramondStd-Bk" w:cs="MathematicalPi-One" w:hint="eastAsia"/>
          <w:color w:val="FF0000"/>
          <w:sz w:val="20"/>
          <w:szCs w:val="20"/>
        </w:rPr>
        <w:t></w:t>
      </w:r>
      <w:r w:rsidRPr="00CD326F">
        <w:rPr>
          <w:rFonts w:ascii="ITCGaramondStd-Bk" w:hAnsi="ITCGaramondStd-Bk" w:cs="ITCGaramondStd-Bk"/>
          <w:color w:val="FF0000"/>
          <w:sz w:val="20"/>
          <w:szCs w:val="20"/>
        </w:rPr>
        <w:t>90 mmHg.</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1. Arterial wall thickening and stiffening, decreased compliance.</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xml:space="preserve">2. Left ventricular and </w:t>
      </w:r>
      <w:proofErr w:type="spellStart"/>
      <w:r w:rsidRPr="00CD326F">
        <w:rPr>
          <w:rFonts w:ascii="ITCGaramondStd-Bk" w:hAnsi="ITCGaramondStd-Bk" w:cs="ITCGaramondStd-Bk"/>
          <w:color w:val="FF0000"/>
          <w:sz w:val="20"/>
          <w:szCs w:val="20"/>
        </w:rPr>
        <w:t>atrial</w:t>
      </w:r>
      <w:proofErr w:type="spellEnd"/>
      <w:r w:rsidRPr="00CD326F">
        <w:rPr>
          <w:rFonts w:ascii="ITCGaramondStd-Bk" w:hAnsi="ITCGaramondStd-Bk" w:cs="ITCGaramondStd-Bk"/>
          <w:color w:val="FF0000"/>
          <w:sz w:val="20"/>
          <w:szCs w:val="20"/>
        </w:rPr>
        <w:t xml:space="preserve"> hypertrophy.</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xml:space="preserve">3. Sclerosis of </w:t>
      </w:r>
      <w:proofErr w:type="spellStart"/>
      <w:r w:rsidRPr="00CD326F">
        <w:rPr>
          <w:rFonts w:ascii="ITCGaramondStd-Bk" w:hAnsi="ITCGaramondStd-Bk" w:cs="ITCGaramondStd-Bk"/>
          <w:color w:val="FF0000"/>
          <w:sz w:val="20"/>
          <w:szCs w:val="20"/>
        </w:rPr>
        <w:t>atrial</w:t>
      </w:r>
      <w:proofErr w:type="spellEnd"/>
      <w:r w:rsidRPr="00CD326F">
        <w:rPr>
          <w:rFonts w:ascii="ITCGaramondStd-Bk" w:hAnsi="ITCGaramondStd-Bk" w:cs="ITCGaramondStd-Bk"/>
          <w:color w:val="FF0000"/>
          <w:sz w:val="20"/>
          <w:szCs w:val="20"/>
        </w:rPr>
        <w:t xml:space="preserve"> and mitral valves.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Implications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1. Decreased cardiac reserve.</w:t>
      </w:r>
    </w:p>
    <w:p w:rsidR="00CD326F" w:rsidRPr="00CD326F" w:rsidRDefault="00CD326F" w:rsidP="00CD326F">
      <w:pPr>
        <w:autoSpaceDE w:val="0"/>
        <w:autoSpaceDN w:val="0"/>
        <w:adjustRightInd w:val="0"/>
        <w:spacing w:line="240" w:lineRule="auto"/>
        <w:jc w:val="left"/>
        <w:rPr>
          <w:rFonts w:ascii="ITCGaramondStd-Bk" w:hAnsi="ITCGaramondStd-Bk" w:cs="ITCGaramondStd-Bk"/>
          <w:b/>
          <w:color w:val="FF0000"/>
          <w:sz w:val="20"/>
          <w:szCs w:val="20"/>
        </w:rPr>
      </w:pPr>
      <w:proofErr w:type="gramStart"/>
      <w:r w:rsidRPr="00CD326F">
        <w:rPr>
          <w:rFonts w:ascii="ITCGaramondStd-Bk" w:hAnsi="ITCGaramondStd-Bk" w:cs="ITCGaramondStd-Bk"/>
          <w:color w:val="FF0000"/>
          <w:sz w:val="20"/>
          <w:szCs w:val="20"/>
        </w:rPr>
        <w:t>a</w:t>
      </w:r>
      <w:proofErr w:type="gramEnd"/>
      <w:r w:rsidRPr="00CD326F">
        <w:rPr>
          <w:rFonts w:ascii="ITCGaramondStd-Bk" w:hAnsi="ITCGaramondStd-Bk" w:cs="ITCGaramondStd-Bk"/>
          <w:color w:val="FF0000"/>
          <w:sz w:val="20"/>
          <w:szCs w:val="20"/>
        </w:rPr>
        <w:t>. At rest: No change in heart rate, cardiac output.</w:t>
      </w:r>
    </w:p>
    <w:p w:rsidR="00CD326F" w:rsidRPr="00CD326F" w:rsidRDefault="00CD326F" w:rsidP="00CD326F">
      <w:pPr>
        <w:autoSpaceDE w:val="0"/>
        <w:autoSpaceDN w:val="0"/>
        <w:adjustRightInd w:val="0"/>
        <w:spacing w:line="240" w:lineRule="auto"/>
        <w:jc w:val="left"/>
        <w:rPr>
          <w:rFonts w:ascii="ITCGaramondStd-Bk" w:hAnsi="ITCGaramondStd-Bk" w:cs="ITCGaramondStd-Bk"/>
          <w:b/>
          <w:color w:val="FF0000"/>
          <w:sz w:val="20"/>
          <w:szCs w:val="20"/>
        </w:rPr>
      </w:pPr>
      <w:proofErr w:type="gramStart"/>
      <w:r w:rsidRPr="00CD326F">
        <w:rPr>
          <w:rFonts w:ascii="ITCGaramondStd-Bk" w:hAnsi="ITCGaramondStd-Bk" w:cs="ITCGaramondStd-Bk"/>
          <w:b/>
          <w:color w:val="FF0000"/>
          <w:sz w:val="20"/>
          <w:szCs w:val="20"/>
        </w:rPr>
        <w:t>b</w:t>
      </w:r>
      <w:proofErr w:type="gramEnd"/>
      <w:r w:rsidRPr="00CD326F">
        <w:rPr>
          <w:rFonts w:ascii="ITCGaramondStd-Bk" w:hAnsi="ITCGaramondStd-Bk" w:cs="ITCGaramondStd-Bk"/>
          <w:b/>
          <w:color w:val="FF0000"/>
          <w:sz w:val="20"/>
          <w:szCs w:val="20"/>
        </w:rPr>
        <w:t>. Under physiological stress and exercise: Decreased maximal heart rate and cardiac output, resulting in fatigue, SOB, slow recovery from tachycardia.</w:t>
      </w:r>
    </w:p>
    <w:p w:rsidR="00CD326F" w:rsidRPr="00CD326F" w:rsidRDefault="00CD326F" w:rsidP="00CD326F">
      <w:pPr>
        <w:autoSpaceDE w:val="0"/>
        <w:autoSpaceDN w:val="0"/>
        <w:adjustRightInd w:val="0"/>
        <w:spacing w:line="240" w:lineRule="auto"/>
        <w:jc w:val="left"/>
        <w:rPr>
          <w:rFonts w:ascii="Times New Roman" w:hAnsi="Times New Roman" w:cs="Times New Roman"/>
          <w:color w:val="FF0000"/>
          <w:sz w:val="24"/>
          <w:szCs w:val="24"/>
        </w:rPr>
      </w:pPr>
      <w:r w:rsidRPr="00CD326F">
        <w:rPr>
          <w:rFonts w:ascii="ITCGaramondStd-Bk" w:hAnsi="ITCGaramondStd-Bk" w:cs="ITCGaramondStd-Bk"/>
          <w:color w:val="FF0000"/>
          <w:sz w:val="20"/>
          <w:szCs w:val="20"/>
        </w:rPr>
        <w:t xml:space="preserve">2. </w:t>
      </w:r>
      <w:r w:rsidRPr="00CD326F">
        <w:rPr>
          <w:rFonts w:ascii="ITCGaramondStd-Bk" w:hAnsi="ITCGaramondStd-Bk" w:cs="ITCGaramondStd-Bk"/>
          <w:b/>
          <w:color w:val="FF0000"/>
          <w:sz w:val="20"/>
          <w:szCs w:val="20"/>
        </w:rPr>
        <w:t xml:space="preserve">Risk of isolated systolic hypertension; inflamed varicosities. </w:t>
      </w:r>
      <w:proofErr w:type="gramStart"/>
      <w:r w:rsidRPr="00CD326F">
        <w:rPr>
          <w:rFonts w:ascii="ITCGaramondStd-Bk" w:hAnsi="ITCGaramondStd-Bk" w:cs="ITCGaramondStd-Bk"/>
          <w:b/>
          <w:color w:val="FF0000"/>
          <w:sz w:val="20"/>
          <w:szCs w:val="20"/>
        </w:rPr>
        <w:t>Risk of arrhythmias, postural, and diuretic-induced hypotension.</w:t>
      </w:r>
      <w:proofErr w:type="gramEnd"/>
      <w:r w:rsidRPr="00CD326F">
        <w:rPr>
          <w:rFonts w:ascii="ITCGaramondStd-Bk" w:hAnsi="ITCGaramondStd-Bk" w:cs="ITCGaramondStd-Bk"/>
          <w:b/>
          <w:color w:val="FF0000"/>
          <w:sz w:val="20"/>
          <w:szCs w:val="20"/>
        </w:rPr>
        <w:t xml:space="preserve"> </w:t>
      </w:r>
      <w:proofErr w:type="gramStart"/>
      <w:r w:rsidRPr="00CD326F">
        <w:rPr>
          <w:rFonts w:ascii="ITCGaramondStd-Bk" w:hAnsi="ITCGaramondStd-Bk" w:cs="ITCGaramondStd-Bk"/>
          <w:b/>
          <w:color w:val="FF0000"/>
          <w:sz w:val="20"/>
          <w:szCs w:val="20"/>
        </w:rPr>
        <w:t>May cause syncope.</w:t>
      </w:r>
      <w:proofErr w:type="gramEnd"/>
      <w:r w:rsidRPr="00CD326F">
        <w:rPr>
          <w:rFonts w:ascii="ITCGaramondStd-Bk" w:hAnsi="ITCGaramondStd-Bk" w:cs="ITCGaramondStd-Bk"/>
          <w:b/>
          <w:color w:val="FF0000"/>
          <w:sz w:val="20"/>
          <w:szCs w:val="20"/>
        </w:rPr>
        <w:t xml:space="preserve"> Strong arterial pulses, diminished peripheral pulses, cool extremities</w:t>
      </w:r>
      <w:r w:rsidRPr="00CD326F">
        <w:rPr>
          <w:rFonts w:ascii="ITCGaramondStd-Bk" w:hAnsi="ITCGaramondStd-Bk" w:cs="ITCGaramondStd-Bk"/>
          <w:color w:val="FF0000"/>
          <w:sz w:val="20"/>
          <w:szCs w:val="20"/>
        </w:rPr>
        <w:t>.</w:t>
      </w:r>
    </w:p>
    <w:p w:rsidR="0027607D" w:rsidRDefault="00A67ED5" w:rsidP="001672C9">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A blood chemistry, urinalysis, arterial blood gases (ABGs), </w:t>
      </w:r>
      <w:r w:rsidR="00553EA1">
        <w:rPr>
          <w:rFonts w:ascii="Times New Roman" w:hAnsi="Times New Roman" w:cs="Times New Roman"/>
          <w:sz w:val="24"/>
          <w:szCs w:val="24"/>
        </w:rPr>
        <w:t xml:space="preserve">creatinine clearance, </w:t>
      </w:r>
      <w:r>
        <w:rPr>
          <w:rFonts w:ascii="Times New Roman" w:hAnsi="Times New Roman" w:cs="Times New Roman"/>
          <w:sz w:val="24"/>
          <w:szCs w:val="24"/>
        </w:rPr>
        <w:t xml:space="preserve">and cardiac enzymes test may also be ordered. </w:t>
      </w:r>
      <w:r w:rsidR="00DC19FB">
        <w:rPr>
          <w:rFonts w:ascii="Times New Roman" w:hAnsi="Times New Roman" w:cs="Times New Roman"/>
          <w:sz w:val="24"/>
          <w:szCs w:val="24"/>
        </w:rPr>
        <w:t xml:space="preserve">The nurse should listen to Mr. </w:t>
      </w:r>
      <w:proofErr w:type="spellStart"/>
      <w:r w:rsidR="00DC19FB">
        <w:rPr>
          <w:rFonts w:ascii="Times New Roman" w:hAnsi="Times New Roman" w:cs="Times New Roman"/>
          <w:sz w:val="24"/>
          <w:szCs w:val="24"/>
        </w:rPr>
        <w:t>Nightwolf’s</w:t>
      </w:r>
      <w:proofErr w:type="spellEnd"/>
      <w:r w:rsidR="00DC19FB">
        <w:rPr>
          <w:rFonts w:ascii="Times New Roman" w:hAnsi="Times New Roman" w:cs="Times New Roman"/>
          <w:sz w:val="24"/>
          <w:szCs w:val="24"/>
        </w:rPr>
        <w:t xml:space="preserve"> heart and lung sounds and inspect for edema, especially in gravity dependent regions. She should check his skin turgor, skin temperature and color, and capillary refill as well. </w:t>
      </w:r>
      <w:r w:rsidR="00E65877">
        <w:rPr>
          <w:rFonts w:ascii="Times New Roman" w:hAnsi="Times New Roman" w:cs="Times New Roman"/>
          <w:sz w:val="24"/>
          <w:szCs w:val="24"/>
        </w:rPr>
        <w:t xml:space="preserve">The nurse might also do a mini neurological or musculoskeletal assessment </w:t>
      </w:r>
      <w:r w:rsidR="00553EA1">
        <w:rPr>
          <w:rFonts w:ascii="Times New Roman" w:hAnsi="Times New Roman" w:cs="Times New Roman"/>
          <w:sz w:val="24"/>
          <w:szCs w:val="24"/>
        </w:rPr>
        <w:t>too</w:t>
      </w:r>
      <w:r w:rsidR="00E65877">
        <w:rPr>
          <w:rFonts w:ascii="Times New Roman" w:hAnsi="Times New Roman" w:cs="Times New Roman"/>
          <w:sz w:val="24"/>
          <w:szCs w:val="24"/>
        </w:rPr>
        <w:t>.</w:t>
      </w:r>
    </w:p>
    <w:p w:rsidR="00E878E2" w:rsidRDefault="00E65877" w:rsidP="00574B0F">
      <w:pPr>
        <w:pStyle w:val="ListParagraph"/>
        <w:numPr>
          <w:ilvl w:val="0"/>
          <w:numId w:val="8"/>
        </w:numPr>
        <w:jc w:val="left"/>
        <w:rPr>
          <w:rFonts w:ascii="Times New Roman" w:hAnsi="Times New Roman" w:cs="Times New Roman"/>
          <w:sz w:val="24"/>
          <w:szCs w:val="24"/>
        </w:rPr>
      </w:pPr>
      <w:r w:rsidRPr="00574B0F">
        <w:rPr>
          <w:rFonts w:ascii="Times New Roman" w:hAnsi="Times New Roman" w:cs="Times New Roman"/>
          <w:sz w:val="24"/>
          <w:szCs w:val="24"/>
        </w:rPr>
        <w:t xml:space="preserve">          </w:t>
      </w:r>
      <w:r w:rsidR="00ED3B80" w:rsidRPr="00574B0F">
        <w:rPr>
          <w:rFonts w:ascii="Times New Roman" w:hAnsi="Times New Roman" w:cs="Times New Roman"/>
          <w:sz w:val="24"/>
          <w:szCs w:val="24"/>
        </w:rPr>
        <w:t xml:space="preserve">According to the Centers for Disease Control and Prevention (CDC, 2010), American Indians are at an increased risk for stroke and heart attack because American Indians also have an increased risk of diabetes, which is a major risk factor for heart disease. </w:t>
      </w:r>
      <w:r w:rsidR="00574B0F" w:rsidRPr="00574B0F">
        <w:rPr>
          <w:rFonts w:ascii="Times New Roman" w:hAnsi="Times New Roman" w:cs="Times New Roman"/>
          <w:sz w:val="24"/>
          <w:szCs w:val="24"/>
        </w:rPr>
        <w:t xml:space="preserve">Heart disease is also more prevalent in Native Americans due </w:t>
      </w:r>
      <w:r w:rsidR="00574B0F">
        <w:rPr>
          <w:rFonts w:ascii="Times New Roman" w:hAnsi="Times New Roman" w:cs="Times New Roman"/>
          <w:sz w:val="24"/>
          <w:szCs w:val="24"/>
        </w:rPr>
        <w:t xml:space="preserve">an increased risk of high blood pressure, especially compared to Caucasians. Native Americans also have increased obesity rates as compared to Caucasians and Asian Americans. Native Americans are also seen to have </w:t>
      </w:r>
      <w:r w:rsidR="000B2CCB">
        <w:rPr>
          <w:rFonts w:ascii="Times New Roman" w:hAnsi="Times New Roman" w:cs="Times New Roman"/>
          <w:sz w:val="24"/>
          <w:szCs w:val="24"/>
        </w:rPr>
        <w:t xml:space="preserve">more stress and adverse experiences, which is directly related to heart disease as well. </w:t>
      </w:r>
    </w:p>
    <w:p w:rsidR="000B2CCB" w:rsidRDefault="000B2CCB" w:rsidP="00574B0F">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w:t>
      </w:r>
      <w:r w:rsidR="000D254D">
        <w:rPr>
          <w:rFonts w:ascii="Times New Roman" w:hAnsi="Times New Roman" w:cs="Times New Roman"/>
          <w:sz w:val="24"/>
          <w:szCs w:val="24"/>
        </w:rPr>
        <w:t xml:space="preserve">According to </w:t>
      </w:r>
      <w:r w:rsidR="00B07B08" w:rsidRPr="00B07B08">
        <w:rPr>
          <w:rFonts w:ascii="Times New Roman" w:hAnsi="Times New Roman" w:cs="Times New Roman"/>
          <w:i/>
          <w:sz w:val="24"/>
          <w:szCs w:val="24"/>
        </w:rPr>
        <w:t xml:space="preserve">Your Guide to Lowering Your Blood Pressure </w:t>
      </w:r>
      <w:r w:rsidR="00B07B08">
        <w:rPr>
          <w:rFonts w:ascii="Times New Roman" w:hAnsi="Times New Roman" w:cs="Times New Roman"/>
          <w:i/>
          <w:sz w:val="24"/>
          <w:szCs w:val="24"/>
        </w:rPr>
        <w:t>w</w:t>
      </w:r>
      <w:r w:rsidR="00B07B08" w:rsidRPr="00B07B08">
        <w:rPr>
          <w:rFonts w:ascii="Times New Roman" w:hAnsi="Times New Roman" w:cs="Times New Roman"/>
          <w:i/>
          <w:sz w:val="24"/>
          <w:szCs w:val="24"/>
        </w:rPr>
        <w:t>ith DASH</w:t>
      </w:r>
      <w:r w:rsidR="00B07B08">
        <w:rPr>
          <w:rFonts w:ascii="Times New Roman" w:hAnsi="Times New Roman" w:cs="Times New Roman"/>
          <w:sz w:val="24"/>
          <w:szCs w:val="24"/>
        </w:rPr>
        <w:t xml:space="preserve"> (2006)</w:t>
      </w:r>
      <w:r w:rsidR="000D254D">
        <w:rPr>
          <w:rFonts w:ascii="Times New Roman" w:hAnsi="Times New Roman" w:cs="Times New Roman"/>
          <w:sz w:val="24"/>
          <w:szCs w:val="24"/>
        </w:rPr>
        <w:t xml:space="preserve">, Mr. </w:t>
      </w:r>
      <w:proofErr w:type="spellStart"/>
      <w:r w:rsidR="000D254D">
        <w:rPr>
          <w:rFonts w:ascii="Times New Roman" w:hAnsi="Times New Roman" w:cs="Times New Roman"/>
          <w:sz w:val="24"/>
          <w:szCs w:val="24"/>
        </w:rPr>
        <w:t>Nightwolf</w:t>
      </w:r>
      <w:proofErr w:type="spellEnd"/>
      <w:r w:rsidR="000D254D">
        <w:rPr>
          <w:rFonts w:ascii="Times New Roman" w:hAnsi="Times New Roman" w:cs="Times New Roman"/>
          <w:sz w:val="24"/>
          <w:szCs w:val="24"/>
        </w:rPr>
        <w:t xml:space="preserve"> could start eating egg substitutes or egg whites instead of egg yolks, soy products</w:t>
      </w:r>
      <w:r w:rsidR="005E2A3F">
        <w:rPr>
          <w:rFonts w:ascii="Times New Roman" w:hAnsi="Times New Roman" w:cs="Times New Roman"/>
          <w:sz w:val="24"/>
          <w:szCs w:val="24"/>
        </w:rPr>
        <w:t xml:space="preserve"> or low-fat proteins</w:t>
      </w:r>
      <w:r w:rsidR="000D254D">
        <w:rPr>
          <w:rFonts w:ascii="Times New Roman" w:hAnsi="Times New Roman" w:cs="Times New Roman"/>
          <w:sz w:val="24"/>
          <w:szCs w:val="24"/>
        </w:rPr>
        <w:t>, fresh or frozen fruits and vegetables instead of canned</w:t>
      </w:r>
      <w:r w:rsidR="00B07B08">
        <w:rPr>
          <w:rFonts w:ascii="Times New Roman" w:hAnsi="Times New Roman" w:cs="Times New Roman"/>
          <w:sz w:val="24"/>
          <w:szCs w:val="24"/>
        </w:rPr>
        <w:t xml:space="preserve"> fruits or vegetables, whole grain bread</w:t>
      </w:r>
      <w:r w:rsidR="005E2A3F">
        <w:rPr>
          <w:rFonts w:ascii="Times New Roman" w:hAnsi="Times New Roman" w:cs="Times New Roman"/>
          <w:sz w:val="24"/>
          <w:szCs w:val="24"/>
        </w:rPr>
        <w:t>, cereals,</w:t>
      </w:r>
      <w:r w:rsidR="00B07B08">
        <w:rPr>
          <w:rFonts w:ascii="Times New Roman" w:hAnsi="Times New Roman" w:cs="Times New Roman"/>
          <w:sz w:val="24"/>
          <w:szCs w:val="24"/>
        </w:rPr>
        <w:t xml:space="preserve"> and pasta</w:t>
      </w:r>
      <w:r w:rsidR="000D254D">
        <w:rPr>
          <w:rFonts w:ascii="Times New Roman" w:hAnsi="Times New Roman" w:cs="Times New Roman"/>
          <w:sz w:val="24"/>
          <w:szCs w:val="24"/>
        </w:rPr>
        <w:t xml:space="preserve">, and oils or margarines instead of butter or lard.  </w:t>
      </w:r>
      <w:r w:rsidR="00CD326F">
        <w:rPr>
          <w:rFonts w:ascii="Times New Roman" w:hAnsi="Times New Roman" w:cs="Times New Roman"/>
          <w:color w:val="FF0000"/>
          <w:sz w:val="24"/>
          <w:szCs w:val="24"/>
        </w:rPr>
        <w:t>Here is a few more suggestions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D326F">
        <w:rPr>
          <w:rFonts w:ascii="ITCGaramondStd-Bk" w:hAnsi="ITCGaramondStd-Bk" w:cs="ITCGaramondStd-Bk"/>
          <w:color w:val="FF0000"/>
          <w:sz w:val="20"/>
          <w:szCs w:val="20"/>
        </w:rPr>
        <w:t xml:space="preserve">Choose lean meats and poultry without skin and prepare them without added saturated and </w:t>
      </w:r>
      <w:proofErr w:type="gramStart"/>
      <w:r w:rsidRPr="00CD326F">
        <w:rPr>
          <w:rFonts w:ascii="ITCGaramondStd-Bk" w:hAnsi="ITCGaramondStd-Bk" w:cs="ITCGaramondStd-Bk"/>
          <w:color w:val="FF0000"/>
          <w:sz w:val="20"/>
          <w:szCs w:val="20"/>
        </w:rPr>
        <w:t>trans</w:t>
      </w:r>
      <w:proofErr w:type="gramEnd"/>
      <w:r w:rsidRPr="00CD326F">
        <w:rPr>
          <w:rFonts w:ascii="ITCGaramondStd-Bk" w:hAnsi="ITCGaramondStd-Bk" w:cs="ITCGaramondStd-Bk"/>
          <w:color w:val="FF0000"/>
          <w:sz w:val="20"/>
          <w:szCs w:val="20"/>
        </w:rPr>
        <w:t xml:space="preserve"> fat.</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xml:space="preserve">• Select fat-free, 1% </w:t>
      </w:r>
      <w:proofErr w:type="gramStart"/>
      <w:r w:rsidRPr="00CD326F">
        <w:rPr>
          <w:rFonts w:ascii="ITCGaramondStd-Bk" w:hAnsi="ITCGaramondStd-Bk" w:cs="ITCGaramondStd-Bk"/>
          <w:color w:val="FF0000"/>
          <w:sz w:val="20"/>
          <w:szCs w:val="20"/>
        </w:rPr>
        <w:t>fat,</w:t>
      </w:r>
      <w:proofErr w:type="gramEnd"/>
      <w:r w:rsidRPr="00CD326F">
        <w:rPr>
          <w:rFonts w:ascii="ITCGaramondStd-Bk" w:hAnsi="ITCGaramondStd-Bk" w:cs="ITCGaramondStd-Bk"/>
          <w:color w:val="FF0000"/>
          <w:sz w:val="20"/>
          <w:szCs w:val="20"/>
        </w:rPr>
        <w:t xml:space="preserve"> and low-fat dairy products.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xml:space="preserve">• Cut back on foods containing partially hydrogenated vegetable oils to reduce </w:t>
      </w:r>
      <w:proofErr w:type="gramStart"/>
      <w:r w:rsidRPr="00CD326F">
        <w:rPr>
          <w:rFonts w:ascii="ITCGaramondStd-BkIta" w:hAnsi="ITCGaramondStd-BkIta" w:cs="ITCGaramondStd-BkIta"/>
          <w:i/>
          <w:iCs/>
          <w:color w:val="FF0000"/>
          <w:sz w:val="20"/>
          <w:szCs w:val="20"/>
        </w:rPr>
        <w:t>trans</w:t>
      </w:r>
      <w:proofErr w:type="gramEnd"/>
      <w:r w:rsidRPr="00CD326F">
        <w:rPr>
          <w:rFonts w:ascii="ITCGaramondStd-BkIta" w:hAnsi="ITCGaramondStd-BkIta" w:cs="ITCGaramondStd-BkIta"/>
          <w:i/>
          <w:iCs/>
          <w:color w:val="FF0000"/>
          <w:sz w:val="20"/>
          <w:szCs w:val="20"/>
        </w:rPr>
        <w:t xml:space="preserve"> </w:t>
      </w:r>
      <w:r w:rsidRPr="00CD326F">
        <w:rPr>
          <w:rFonts w:ascii="ITCGaramondStd-Bk" w:hAnsi="ITCGaramondStd-Bk" w:cs="ITCGaramondStd-Bk"/>
          <w:color w:val="FF0000"/>
          <w:sz w:val="20"/>
          <w:szCs w:val="20"/>
        </w:rPr>
        <w:t>fat in the diet.</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Cut back on foods high in dietary cholesterol. Eat less than 300 mg of cholesterol each day.</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Cut back on beverages and foods with added sugars.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Choose and prepare foods with little or no salt. Eat less than 2,300 mg of sodium per day.</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Alcohol in moderation, or none at all. That means one drink per day for a woman and two drinks per day for a man.</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Follow the American Heart Association recommendations when eating out, and keep an eye on portion sizes.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Vegetables and fruits are high in vitamins, minerals, and fiber—and low in calories.</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Eating a variety of fruits and vegetables may help control weight and blood pressure.</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Unrefined whole-grain foods contain fiber that can help lower blood cholesterol and help patients feel full, which may help manage weight.</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lastRenderedPageBreak/>
        <w:t xml:space="preserve">• Eat fish at least twice a week. Research shows that eating oily fish containing omega-3 fatty acids (salmon, trout, and herring) may help lower risk of death from coronary artery disease. </w:t>
      </w:r>
    </w:p>
    <w:p w:rsidR="00CD326F" w:rsidRPr="00CD326F" w:rsidRDefault="00CD326F" w:rsidP="00CD326F">
      <w:pPr>
        <w:autoSpaceDE w:val="0"/>
        <w:autoSpaceDN w:val="0"/>
        <w:adjustRightInd w:val="0"/>
        <w:spacing w:line="240" w:lineRule="auto"/>
        <w:jc w:val="left"/>
        <w:rPr>
          <w:rFonts w:ascii="ITCGaramondStd-Bk" w:hAnsi="ITCGaramondStd-Bk" w:cs="ITCGaramondStd-Bk"/>
          <w:color w:val="FF0000"/>
          <w:sz w:val="20"/>
          <w:szCs w:val="20"/>
        </w:rPr>
      </w:pPr>
      <w:r w:rsidRPr="00CD326F">
        <w:rPr>
          <w:rFonts w:ascii="ITCGaramondStd-Bk" w:hAnsi="ITCGaramondStd-Bk" w:cs="ITCGaramondStd-Bk"/>
          <w:color w:val="FF0000"/>
          <w:sz w:val="20"/>
          <w:szCs w:val="20"/>
        </w:rPr>
        <w:t xml:space="preserve">• Cut back on foods containing partially hydrogenated vegetable oils to reduce </w:t>
      </w:r>
      <w:proofErr w:type="gramStart"/>
      <w:r w:rsidRPr="00CD326F">
        <w:rPr>
          <w:rFonts w:ascii="ITCGaramondStd-Bk" w:hAnsi="ITCGaramondStd-Bk" w:cs="ITCGaramondStd-Bk"/>
          <w:color w:val="FF0000"/>
          <w:sz w:val="20"/>
          <w:szCs w:val="20"/>
        </w:rPr>
        <w:t>trans</w:t>
      </w:r>
      <w:proofErr w:type="gramEnd"/>
      <w:r w:rsidRPr="00CD326F">
        <w:rPr>
          <w:rFonts w:ascii="ITCGaramondStd-Bk" w:hAnsi="ITCGaramondStd-Bk" w:cs="ITCGaramondStd-Bk"/>
          <w:color w:val="FF0000"/>
          <w:sz w:val="20"/>
          <w:szCs w:val="20"/>
        </w:rPr>
        <w:t xml:space="preserve"> fat in the diet.</w:t>
      </w:r>
    </w:p>
    <w:p w:rsidR="00CD326F" w:rsidRDefault="00CD326F" w:rsidP="00CD326F">
      <w:pPr>
        <w:autoSpaceDE w:val="0"/>
        <w:autoSpaceDN w:val="0"/>
        <w:adjustRightInd w:val="0"/>
        <w:spacing w:line="240" w:lineRule="auto"/>
        <w:jc w:val="left"/>
        <w:rPr>
          <w:rFonts w:ascii="Times New Roman" w:hAnsi="Times New Roman" w:cs="Times New Roman"/>
          <w:sz w:val="24"/>
          <w:szCs w:val="24"/>
        </w:rPr>
      </w:pPr>
    </w:p>
    <w:p w:rsidR="00B07B08" w:rsidRDefault="00B07B08" w:rsidP="00574B0F">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w:t>
      </w:r>
      <w:r w:rsidR="00D44EB0">
        <w:rPr>
          <w:rFonts w:ascii="Times New Roman" w:hAnsi="Times New Roman" w:cs="Times New Roman"/>
          <w:sz w:val="24"/>
          <w:szCs w:val="24"/>
        </w:rPr>
        <w:t xml:space="preserve">Steve could let Mr. </w:t>
      </w:r>
      <w:proofErr w:type="spellStart"/>
      <w:r w:rsidR="00D44EB0">
        <w:rPr>
          <w:rFonts w:ascii="Times New Roman" w:hAnsi="Times New Roman" w:cs="Times New Roman"/>
          <w:sz w:val="24"/>
          <w:szCs w:val="24"/>
        </w:rPr>
        <w:t>Nightwolf</w:t>
      </w:r>
      <w:proofErr w:type="spellEnd"/>
      <w:r w:rsidR="00D44EB0">
        <w:rPr>
          <w:rFonts w:ascii="Times New Roman" w:hAnsi="Times New Roman" w:cs="Times New Roman"/>
          <w:sz w:val="24"/>
          <w:szCs w:val="24"/>
        </w:rPr>
        <w:t xml:space="preserve"> know that exercise does not have to be strenuous for it to be effective. People can even do exercises while sitting in a chair or while lying in a bed. Range of motion exercises can be performed by almost anyone, and have major health benefits, such as preventing venous stasis, strengthening muscles, and relieving pressure of certain bony prominences that can contribute to pressure ulcers. Chair-bound exercises can be performed with light weights </w:t>
      </w:r>
      <w:r w:rsidR="00327B30">
        <w:rPr>
          <w:rFonts w:ascii="Times New Roman" w:hAnsi="Times New Roman" w:cs="Times New Roman"/>
          <w:sz w:val="24"/>
          <w:szCs w:val="24"/>
        </w:rPr>
        <w:t xml:space="preserve">or dumbbells </w:t>
      </w:r>
      <w:r w:rsidR="00D44EB0">
        <w:rPr>
          <w:rFonts w:ascii="Times New Roman" w:hAnsi="Times New Roman" w:cs="Times New Roman"/>
          <w:sz w:val="24"/>
          <w:szCs w:val="24"/>
        </w:rPr>
        <w:t xml:space="preserve">to increase the intensity level. Even deep breathing and stretching exercises can help increase circulation and improve flexibility as well. </w:t>
      </w:r>
      <w:r w:rsidR="00327B30">
        <w:rPr>
          <w:rFonts w:ascii="Times New Roman" w:hAnsi="Times New Roman" w:cs="Times New Roman"/>
          <w:sz w:val="24"/>
          <w:szCs w:val="24"/>
        </w:rPr>
        <w:t>Walking and water aerobics are also appropriate exercises for his age and health conditions.</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Pr>
          <w:rFonts w:ascii="Times New Roman" w:hAnsi="Times New Roman" w:cs="Times New Roman"/>
          <w:sz w:val="24"/>
          <w:szCs w:val="24"/>
        </w:rPr>
        <w:t xml:space="preserve"> </w:t>
      </w:r>
      <w:r w:rsidRPr="00743BDD">
        <w:rPr>
          <w:rFonts w:ascii="ITCGaramondStd-Bk" w:hAnsi="ITCGaramondStd-Bk" w:cs="ITCGaramondStd-Bk"/>
          <w:color w:val="FF0000"/>
          <w:sz w:val="20"/>
          <w:szCs w:val="20"/>
        </w:rPr>
        <w:t xml:space="preserve">First, Mr. </w:t>
      </w:r>
      <w:proofErr w:type="spellStart"/>
      <w:r w:rsidRPr="00743BDD">
        <w:rPr>
          <w:rFonts w:ascii="ITCGaramondStd-Bk" w:hAnsi="ITCGaramondStd-Bk" w:cs="ITCGaramondStd-Bk"/>
          <w:color w:val="FF0000"/>
          <w:sz w:val="20"/>
          <w:szCs w:val="20"/>
        </w:rPr>
        <w:t>Nightwolf</w:t>
      </w:r>
      <w:proofErr w:type="spellEnd"/>
      <w:r w:rsidRPr="00743BDD">
        <w:rPr>
          <w:rFonts w:ascii="ITCGaramondStd-Bk" w:hAnsi="ITCGaramondStd-Bk" w:cs="ITCGaramondStd-Bk"/>
          <w:color w:val="FF0000"/>
          <w:sz w:val="20"/>
          <w:szCs w:val="20"/>
        </w:rPr>
        <w:t xml:space="preserve"> should discuss an exercise plan with his primary care provider. If permitted, Mr. </w:t>
      </w:r>
      <w:proofErr w:type="spellStart"/>
      <w:r w:rsidRPr="00743BDD">
        <w:rPr>
          <w:rFonts w:ascii="ITCGaramondStd-Bk" w:hAnsi="ITCGaramondStd-Bk" w:cs="ITCGaramondStd-Bk"/>
          <w:color w:val="FF0000"/>
          <w:sz w:val="20"/>
          <w:szCs w:val="20"/>
        </w:rPr>
        <w:t>Nightwolf</w:t>
      </w:r>
      <w:proofErr w:type="spellEnd"/>
      <w:r w:rsidRPr="00743BDD">
        <w:rPr>
          <w:rFonts w:ascii="ITCGaramondStd-Bk" w:hAnsi="ITCGaramondStd-Bk" w:cs="ITCGaramondStd-Bk"/>
          <w:color w:val="FF0000"/>
          <w:sz w:val="20"/>
          <w:szCs w:val="20"/>
        </w:rPr>
        <w:t xml:space="preserve"> could</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work in the garden or mow the grass</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rake leaves, prune, dig, and pick up trash</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go out for a short walk before breakfast, after dinner or both. Start with 5–10 minutes and work up to 30 minutes</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xml:space="preserve">• </w:t>
      </w:r>
      <w:proofErr w:type="gramStart"/>
      <w:r w:rsidRPr="00743BDD">
        <w:rPr>
          <w:rFonts w:ascii="ITCGaramondStd-Bk" w:hAnsi="ITCGaramondStd-Bk" w:cs="ITCGaramondStd-Bk"/>
          <w:color w:val="FF0000"/>
          <w:sz w:val="20"/>
          <w:szCs w:val="20"/>
        </w:rPr>
        <w:t>when</w:t>
      </w:r>
      <w:proofErr w:type="gramEnd"/>
      <w:r w:rsidRPr="00743BDD">
        <w:rPr>
          <w:rFonts w:ascii="ITCGaramondStd-Bk" w:hAnsi="ITCGaramondStd-Bk" w:cs="ITCGaramondStd-Bk"/>
          <w:color w:val="FF0000"/>
          <w:sz w:val="20"/>
          <w:szCs w:val="20"/>
        </w:rPr>
        <w:t xml:space="preserve"> walking, pick up the pace from leisurely to brisk. Choose a hilly route. When watching TV, sit up instead of lying on the sofa. Throw away the video remote control</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stand up while talking on the telephone</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walk the dog</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park farther away while shopping and walk the extra distance; wear walking shoes and walk lap or two around the store</w:t>
      </w:r>
    </w:p>
    <w:p w:rsidR="00743BDD" w:rsidRPr="00743BDD" w:rsidRDefault="00743BDD" w:rsidP="00743BDD">
      <w:pPr>
        <w:autoSpaceDE w:val="0"/>
        <w:autoSpaceDN w:val="0"/>
        <w:adjustRightInd w:val="0"/>
        <w:spacing w:line="240" w:lineRule="auto"/>
        <w:jc w:val="left"/>
        <w:rPr>
          <w:rFonts w:ascii="ITCGaramondStd-Bk" w:hAnsi="ITCGaramondStd-Bk" w:cs="ITCGaramondStd-Bk"/>
          <w:color w:val="FF0000"/>
          <w:sz w:val="20"/>
          <w:szCs w:val="20"/>
        </w:rPr>
      </w:pPr>
      <w:r w:rsidRPr="00743BDD">
        <w:rPr>
          <w:rFonts w:ascii="ITCGaramondStd-Bk" w:hAnsi="ITCGaramondStd-Bk" w:cs="ITCGaramondStd-Bk"/>
          <w:color w:val="FF0000"/>
          <w:sz w:val="20"/>
          <w:szCs w:val="20"/>
        </w:rPr>
        <w:t xml:space="preserve">• stretch to reach items in high places and squat or bend to look at items at floor level </w:t>
      </w:r>
    </w:p>
    <w:p w:rsidR="00743BDD" w:rsidRPr="00743BDD" w:rsidRDefault="00743BDD" w:rsidP="00743BDD">
      <w:pPr>
        <w:autoSpaceDE w:val="0"/>
        <w:autoSpaceDN w:val="0"/>
        <w:adjustRightInd w:val="0"/>
        <w:spacing w:line="240" w:lineRule="auto"/>
        <w:jc w:val="left"/>
        <w:rPr>
          <w:rFonts w:ascii="Times New Roman" w:hAnsi="Times New Roman" w:cs="Times New Roman"/>
          <w:color w:val="FF0000"/>
          <w:sz w:val="24"/>
          <w:szCs w:val="24"/>
        </w:rPr>
      </w:pPr>
    </w:p>
    <w:p w:rsidR="00327B30" w:rsidRDefault="00327B30" w:rsidP="00574B0F">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w:t>
      </w:r>
      <w:r w:rsidR="005E63FF">
        <w:rPr>
          <w:rFonts w:ascii="Times New Roman" w:hAnsi="Times New Roman" w:cs="Times New Roman"/>
          <w:sz w:val="24"/>
          <w:szCs w:val="24"/>
        </w:rPr>
        <w:t xml:space="preserve">Improvements are seen almost everywhere. His triglycerides are lower, though still a little high. His HDL cholesterol </w:t>
      </w:r>
      <w:r w:rsidR="003269B2">
        <w:rPr>
          <w:rFonts w:ascii="Times New Roman" w:hAnsi="Times New Roman" w:cs="Times New Roman"/>
          <w:sz w:val="24"/>
          <w:szCs w:val="24"/>
        </w:rPr>
        <w:t xml:space="preserve">(good cholesterol) </w:t>
      </w:r>
      <w:r w:rsidR="005E63FF">
        <w:rPr>
          <w:rFonts w:ascii="Times New Roman" w:hAnsi="Times New Roman" w:cs="Times New Roman"/>
          <w:sz w:val="24"/>
          <w:szCs w:val="24"/>
        </w:rPr>
        <w:t>as increased and his LDL cholesterol</w:t>
      </w:r>
      <w:r w:rsidR="003269B2">
        <w:rPr>
          <w:rFonts w:ascii="Times New Roman" w:hAnsi="Times New Roman" w:cs="Times New Roman"/>
          <w:sz w:val="24"/>
          <w:szCs w:val="24"/>
        </w:rPr>
        <w:t xml:space="preserve"> (bad cholesterol)</w:t>
      </w:r>
      <w:r w:rsidR="005E63FF">
        <w:rPr>
          <w:rFonts w:ascii="Times New Roman" w:hAnsi="Times New Roman" w:cs="Times New Roman"/>
          <w:sz w:val="24"/>
          <w:szCs w:val="24"/>
        </w:rPr>
        <w:t xml:space="preserve"> as decreased. His serum glucose is lower too, though also still on the high side. His HbA1c, BUN, and creatinine levels have all decreased as well. This means that his kidneys are working better and he is going to have less plaque buildup in his arteries. </w:t>
      </w:r>
      <w:r w:rsidR="003269B2">
        <w:rPr>
          <w:rFonts w:ascii="Times New Roman" w:hAnsi="Times New Roman" w:cs="Times New Roman"/>
          <w:sz w:val="24"/>
          <w:szCs w:val="24"/>
        </w:rPr>
        <w:t xml:space="preserve">He will have better cardiac output as a result of less plague buildup, as well as </w:t>
      </w:r>
      <w:r w:rsidR="003269B2">
        <w:rPr>
          <w:rFonts w:ascii="Times New Roman" w:hAnsi="Times New Roman" w:cs="Times New Roman"/>
          <w:sz w:val="24"/>
          <w:szCs w:val="24"/>
        </w:rPr>
        <w:lastRenderedPageBreak/>
        <w:t>better tissue perfusion. He is less likely to have fluid overload or edema will adequate kidney function.</w:t>
      </w:r>
    </w:p>
    <w:p w:rsidR="003269B2" w:rsidRPr="00574B0F" w:rsidRDefault="003269B2" w:rsidP="00574B0F">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 xml:space="preserve">          </w:t>
      </w:r>
      <w:r w:rsidR="00642193">
        <w:rPr>
          <w:rFonts w:ascii="Times New Roman" w:hAnsi="Times New Roman" w:cs="Times New Roman"/>
          <w:sz w:val="24"/>
          <w:szCs w:val="24"/>
        </w:rPr>
        <w:t>According to Paddock (</w:t>
      </w:r>
      <w:r w:rsidR="0060116D">
        <w:rPr>
          <w:rFonts w:ascii="Times New Roman" w:hAnsi="Times New Roman" w:cs="Times New Roman"/>
          <w:sz w:val="24"/>
          <w:szCs w:val="24"/>
        </w:rPr>
        <w:t>2010), “Life’s Simple 7” include</w:t>
      </w:r>
      <w:r w:rsidR="00334DF4">
        <w:rPr>
          <w:rFonts w:ascii="Times New Roman" w:hAnsi="Times New Roman" w:cs="Times New Roman"/>
          <w:sz w:val="24"/>
          <w:szCs w:val="24"/>
        </w:rPr>
        <w:t>s</w:t>
      </w:r>
      <w:r w:rsidR="0060116D">
        <w:rPr>
          <w:rFonts w:ascii="Times New Roman" w:hAnsi="Times New Roman" w:cs="Times New Roman"/>
          <w:sz w:val="24"/>
          <w:szCs w:val="24"/>
        </w:rPr>
        <w:t xml:space="preserve"> not </w:t>
      </w:r>
      <w:r w:rsidR="00334DF4">
        <w:rPr>
          <w:rFonts w:ascii="Times New Roman" w:hAnsi="Times New Roman" w:cs="Times New Roman"/>
          <w:sz w:val="24"/>
          <w:szCs w:val="24"/>
        </w:rPr>
        <w:t xml:space="preserve">ever </w:t>
      </w:r>
      <w:r w:rsidR="0060116D">
        <w:rPr>
          <w:rFonts w:ascii="Times New Roman" w:hAnsi="Times New Roman" w:cs="Times New Roman"/>
          <w:sz w:val="24"/>
          <w:szCs w:val="24"/>
        </w:rPr>
        <w:t>smoking</w:t>
      </w:r>
      <w:r w:rsidR="00334DF4">
        <w:rPr>
          <w:rFonts w:ascii="Times New Roman" w:hAnsi="Times New Roman" w:cs="Times New Roman"/>
          <w:sz w:val="24"/>
          <w:szCs w:val="24"/>
        </w:rPr>
        <w:t xml:space="preserve"> or quitting for at least a year</w:t>
      </w:r>
      <w:r w:rsidR="0060116D">
        <w:rPr>
          <w:rFonts w:ascii="Times New Roman" w:hAnsi="Times New Roman" w:cs="Times New Roman"/>
          <w:sz w:val="24"/>
          <w:szCs w:val="24"/>
        </w:rPr>
        <w:t>, exercising moderately for 30 minutes five days a week or exercising intensely for 75 minutes per week, maintaining a blood pressure below 120/80 mm Hg, a fasting serum glucose below 100 mg/dL, a total cholesterol of less than 200 mg/dL</w:t>
      </w:r>
      <w:r w:rsidR="00334DF4">
        <w:rPr>
          <w:rFonts w:ascii="Times New Roman" w:hAnsi="Times New Roman" w:cs="Times New Roman"/>
          <w:sz w:val="24"/>
          <w:szCs w:val="24"/>
        </w:rPr>
        <w:t>, and a BMI of less than 25 kg/m2, and meeting at least four of the five key elements of the American Heart Association’s (ASHA) healthy diet. The five key elements of the American Heart Association’s healthy diet include eating at least four and a half cups of fruits and vegetables per day, eating more than three serving of whole grains per day, consuming less than 1,500 mg of sodium per day, eating at least two serving of fish per week, and drinking less than 450 kcal per week of “sugar-sweetened beverages” (p. 2).</w:t>
      </w:r>
    </w:p>
    <w:p w:rsidR="00E47CFE" w:rsidRDefault="00E47CFE">
      <w:pPr>
        <w:rPr>
          <w:rFonts w:ascii="Times New Roman" w:hAnsi="Times New Roman" w:cs="Times New Roman"/>
          <w:sz w:val="24"/>
          <w:szCs w:val="24"/>
        </w:rPr>
      </w:pPr>
      <w:r>
        <w:rPr>
          <w:rFonts w:ascii="Times New Roman" w:hAnsi="Times New Roman" w:cs="Times New Roman"/>
          <w:sz w:val="24"/>
          <w:szCs w:val="24"/>
        </w:rPr>
        <w:br w:type="page"/>
      </w:r>
    </w:p>
    <w:p w:rsidR="001C7E08" w:rsidRDefault="006140AD" w:rsidP="00E47CFE">
      <w:pPr>
        <w:rPr>
          <w:rFonts w:ascii="Times New Roman" w:hAnsi="Times New Roman" w:cs="Times New Roman"/>
          <w:sz w:val="24"/>
          <w:szCs w:val="24"/>
        </w:rPr>
      </w:pPr>
      <w:r>
        <w:rPr>
          <w:rFonts w:ascii="Times New Roman" w:hAnsi="Times New Roman" w:cs="Times New Roman"/>
          <w:sz w:val="24"/>
          <w:szCs w:val="24"/>
        </w:rPr>
        <w:lastRenderedPageBreak/>
        <w:t>References</w:t>
      </w:r>
    </w:p>
    <w:p w:rsidR="008B2514" w:rsidRPr="00733252" w:rsidRDefault="008B2514" w:rsidP="008B2514">
      <w:pPr>
        <w:jc w:val="left"/>
        <w:rPr>
          <w:rFonts w:ascii="Times New Roman" w:hAnsi="Times New Roman" w:cs="Times New Roman"/>
          <w:i/>
          <w:sz w:val="24"/>
          <w:szCs w:val="24"/>
        </w:rPr>
      </w:pPr>
      <w:proofErr w:type="gramStart"/>
      <w:r>
        <w:rPr>
          <w:rFonts w:ascii="Times New Roman" w:hAnsi="Times New Roman" w:cs="Times New Roman"/>
          <w:sz w:val="24"/>
          <w:szCs w:val="24"/>
        </w:rPr>
        <w:t>American Academy of Orthopaedic Surgeons.</w:t>
      </w:r>
      <w:proofErr w:type="gramEnd"/>
      <w:r>
        <w:rPr>
          <w:rFonts w:ascii="Times New Roman" w:hAnsi="Times New Roman" w:cs="Times New Roman"/>
          <w:sz w:val="24"/>
          <w:szCs w:val="24"/>
        </w:rPr>
        <w:t xml:space="preserve"> (2009). </w:t>
      </w:r>
      <w:r w:rsidRPr="00733252">
        <w:rPr>
          <w:rFonts w:ascii="Times New Roman" w:hAnsi="Times New Roman" w:cs="Times New Roman"/>
          <w:i/>
          <w:sz w:val="24"/>
          <w:szCs w:val="24"/>
        </w:rPr>
        <w:t xml:space="preserve">Osteoporosis/bone health in adults as a </w:t>
      </w:r>
    </w:p>
    <w:p w:rsidR="008B2514" w:rsidRDefault="008B2514" w:rsidP="008B2514">
      <w:pPr>
        <w:ind w:firstLine="720"/>
        <w:jc w:val="left"/>
        <w:rPr>
          <w:rFonts w:ascii="Times New Roman" w:hAnsi="Times New Roman" w:cs="Times New Roman"/>
          <w:sz w:val="24"/>
          <w:szCs w:val="24"/>
        </w:rPr>
      </w:pPr>
      <w:proofErr w:type="gramStart"/>
      <w:r w:rsidRPr="00733252">
        <w:rPr>
          <w:rFonts w:ascii="Times New Roman" w:hAnsi="Times New Roman" w:cs="Times New Roman"/>
          <w:i/>
          <w:sz w:val="24"/>
          <w:szCs w:val="24"/>
        </w:rPr>
        <w:t>national</w:t>
      </w:r>
      <w:proofErr w:type="gramEnd"/>
      <w:r w:rsidRPr="00733252">
        <w:rPr>
          <w:rFonts w:ascii="Times New Roman" w:hAnsi="Times New Roman" w:cs="Times New Roman"/>
          <w:i/>
          <w:sz w:val="24"/>
          <w:szCs w:val="24"/>
        </w:rPr>
        <w:t xml:space="preserve"> public health priority. </w:t>
      </w:r>
      <w:r>
        <w:rPr>
          <w:rFonts w:ascii="Times New Roman" w:hAnsi="Times New Roman" w:cs="Times New Roman"/>
          <w:sz w:val="24"/>
          <w:szCs w:val="24"/>
        </w:rPr>
        <w:t xml:space="preserve">Retrieved from </w:t>
      </w:r>
      <w:r w:rsidRPr="008B2514">
        <w:rPr>
          <w:rFonts w:ascii="Times New Roman" w:hAnsi="Times New Roman" w:cs="Times New Roman"/>
          <w:sz w:val="24"/>
          <w:szCs w:val="24"/>
        </w:rPr>
        <w:t>http://www.aaos.org/about/</w:t>
      </w:r>
    </w:p>
    <w:p w:rsidR="008B2514" w:rsidRDefault="008B2514" w:rsidP="008B2514">
      <w:pPr>
        <w:ind w:firstLine="720"/>
        <w:jc w:val="left"/>
        <w:rPr>
          <w:rFonts w:ascii="Times New Roman" w:hAnsi="Times New Roman" w:cs="Times New Roman"/>
          <w:sz w:val="24"/>
          <w:szCs w:val="24"/>
        </w:rPr>
      </w:pPr>
      <w:r w:rsidRPr="008B2514">
        <w:rPr>
          <w:rFonts w:ascii="Times New Roman" w:hAnsi="Times New Roman" w:cs="Times New Roman"/>
          <w:sz w:val="24"/>
          <w:szCs w:val="24"/>
        </w:rPr>
        <w:t>papers/position/1113.asp</w:t>
      </w:r>
    </w:p>
    <w:p w:rsidR="00A14746" w:rsidRDefault="00A14746" w:rsidP="00A14746">
      <w:pPr>
        <w:jc w:val="left"/>
        <w:rPr>
          <w:rFonts w:ascii="Times New Roman" w:hAnsi="Times New Roman" w:cs="Times New Roman"/>
          <w:i/>
          <w:sz w:val="24"/>
          <w:szCs w:val="24"/>
        </w:rPr>
      </w:pPr>
      <w:proofErr w:type="gramStart"/>
      <w:r>
        <w:rPr>
          <w:rFonts w:ascii="Times New Roman" w:hAnsi="Times New Roman" w:cs="Times New Roman"/>
          <w:sz w:val="24"/>
          <w:szCs w:val="24"/>
        </w:rPr>
        <w:t>Centers for Disease Control and Prevention.</w:t>
      </w:r>
      <w:proofErr w:type="gramEnd"/>
      <w:r>
        <w:rPr>
          <w:rFonts w:ascii="Times New Roman" w:hAnsi="Times New Roman" w:cs="Times New Roman"/>
          <w:sz w:val="24"/>
          <w:szCs w:val="24"/>
        </w:rPr>
        <w:t xml:space="preserve"> (2010). </w:t>
      </w:r>
      <w:r w:rsidRPr="00A14746">
        <w:rPr>
          <w:rFonts w:ascii="Times New Roman" w:hAnsi="Times New Roman" w:cs="Times New Roman"/>
          <w:i/>
          <w:sz w:val="24"/>
          <w:szCs w:val="24"/>
        </w:rPr>
        <w:t xml:space="preserve">American Indian and Alaska native heart </w:t>
      </w:r>
    </w:p>
    <w:p w:rsidR="00A14746" w:rsidRDefault="00A14746" w:rsidP="00A14746">
      <w:pPr>
        <w:ind w:firstLine="720"/>
        <w:jc w:val="left"/>
        <w:rPr>
          <w:rFonts w:ascii="Times New Roman" w:hAnsi="Times New Roman" w:cs="Times New Roman"/>
          <w:sz w:val="24"/>
          <w:szCs w:val="24"/>
        </w:rPr>
      </w:pPr>
      <w:proofErr w:type="gramStart"/>
      <w:r w:rsidRPr="00A14746">
        <w:rPr>
          <w:rFonts w:ascii="Times New Roman" w:hAnsi="Times New Roman" w:cs="Times New Roman"/>
          <w:i/>
          <w:sz w:val="24"/>
          <w:szCs w:val="24"/>
        </w:rPr>
        <w:t>disease</w:t>
      </w:r>
      <w:proofErr w:type="gramEnd"/>
      <w:r w:rsidRPr="00A14746">
        <w:rPr>
          <w:rFonts w:ascii="Times New Roman" w:hAnsi="Times New Roman" w:cs="Times New Roman"/>
          <w:i/>
          <w:sz w:val="24"/>
          <w:szCs w:val="24"/>
        </w:rPr>
        <w:t xml:space="preserve"> and stroke fact sheet</w:t>
      </w:r>
      <w:r>
        <w:rPr>
          <w:rFonts w:ascii="Times New Roman" w:hAnsi="Times New Roman" w:cs="Times New Roman"/>
          <w:sz w:val="24"/>
          <w:szCs w:val="24"/>
        </w:rPr>
        <w:t xml:space="preserve">. Retrieved from </w:t>
      </w:r>
      <w:r w:rsidRPr="00A14746">
        <w:rPr>
          <w:rFonts w:ascii="Times New Roman" w:hAnsi="Times New Roman" w:cs="Times New Roman"/>
          <w:sz w:val="24"/>
          <w:szCs w:val="24"/>
        </w:rPr>
        <w:t>http://www.cdc.gov/dhdsp/</w:t>
      </w:r>
    </w:p>
    <w:p w:rsidR="00A14746" w:rsidRDefault="00A14746" w:rsidP="00A14746">
      <w:pPr>
        <w:ind w:firstLine="720"/>
        <w:jc w:val="left"/>
        <w:rPr>
          <w:rFonts w:ascii="Times New Roman" w:hAnsi="Times New Roman" w:cs="Times New Roman"/>
          <w:sz w:val="24"/>
          <w:szCs w:val="24"/>
        </w:rPr>
      </w:pPr>
      <w:proofErr w:type="spellStart"/>
      <w:r w:rsidRPr="00A14746">
        <w:rPr>
          <w:rFonts w:ascii="Times New Roman" w:hAnsi="Times New Roman" w:cs="Times New Roman"/>
          <w:sz w:val="24"/>
          <w:szCs w:val="24"/>
        </w:rPr>
        <w:t>data_statistics</w:t>
      </w:r>
      <w:proofErr w:type="spellEnd"/>
      <w:r w:rsidRPr="00A14746">
        <w:rPr>
          <w:rFonts w:ascii="Times New Roman" w:hAnsi="Times New Roman" w:cs="Times New Roman"/>
          <w:sz w:val="24"/>
          <w:szCs w:val="24"/>
        </w:rPr>
        <w:t>/</w:t>
      </w:r>
      <w:proofErr w:type="spellStart"/>
      <w:r w:rsidRPr="00A14746">
        <w:rPr>
          <w:rFonts w:ascii="Times New Roman" w:hAnsi="Times New Roman" w:cs="Times New Roman"/>
          <w:sz w:val="24"/>
          <w:szCs w:val="24"/>
        </w:rPr>
        <w:t>fact_sheets</w:t>
      </w:r>
      <w:proofErr w:type="spellEnd"/>
      <w:r w:rsidRPr="00A14746">
        <w:rPr>
          <w:rFonts w:ascii="Times New Roman" w:hAnsi="Times New Roman" w:cs="Times New Roman"/>
          <w:sz w:val="24"/>
          <w:szCs w:val="24"/>
        </w:rPr>
        <w:t>/docs/fs_aian.pdf</w:t>
      </w:r>
    </w:p>
    <w:p w:rsidR="003F7858" w:rsidRDefault="003F7858" w:rsidP="003F7858">
      <w:pPr>
        <w:jc w:val="both"/>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r w:rsidRPr="003F7858">
        <w:rPr>
          <w:rFonts w:ascii="Times New Roman" w:hAnsi="Times New Roman" w:cs="Times New Roman"/>
          <w:i/>
          <w:sz w:val="24"/>
          <w:szCs w:val="24"/>
        </w:rPr>
        <w:t>Gerontological nursing: Competencies for care</w:t>
      </w:r>
      <w:r>
        <w:rPr>
          <w:rFonts w:ascii="Times New Roman" w:hAnsi="Times New Roman" w:cs="Times New Roman"/>
          <w:sz w:val="24"/>
          <w:szCs w:val="24"/>
        </w:rPr>
        <w:t xml:space="preserve"> (2</w:t>
      </w:r>
      <w:r w:rsidRPr="003F7858">
        <w:rPr>
          <w:rFonts w:ascii="Times New Roman" w:hAnsi="Times New Roman" w:cs="Times New Roman"/>
          <w:sz w:val="24"/>
          <w:szCs w:val="24"/>
          <w:vertAlign w:val="superscript"/>
        </w:rPr>
        <w:t>nd</w:t>
      </w:r>
      <w:r w:rsidR="0027607D">
        <w:rPr>
          <w:rFonts w:ascii="Times New Roman" w:hAnsi="Times New Roman" w:cs="Times New Roman"/>
          <w:sz w:val="24"/>
          <w:szCs w:val="24"/>
        </w:rPr>
        <w:t xml:space="preserve"> </w:t>
      </w:r>
      <w:proofErr w:type="gramStart"/>
      <w:r w:rsidR="0027607D">
        <w:rPr>
          <w:rFonts w:ascii="Times New Roman" w:hAnsi="Times New Roman" w:cs="Times New Roman"/>
          <w:sz w:val="24"/>
          <w:szCs w:val="24"/>
        </w:rPr>
        <w:t>ed</w:t>
      </w:r>
      <w:proofErr w:type="gramEnd"/>
      <w:r w:rsidR="0027607D">
        <w:rPr>
          <w:rFonts w:ascii="Times New Roman" w:hAnsi="Times New Roman" w:cs="Times New Roman"/>
          <w:sz w:val="24"/>
          <w:szCs w:val="24"/>
        </w:rPr>
        <w:t>.). Boston: Jones &amp;</w:t>
      </w:r>
      <w:r>
        <w:rPr>
          <w:rFonts w:ascii="Times New Roman" w:hAnsi="Times New Roman" w:cs="Times New Roman"/>
          <w:sz w:val="24"/>
          <w:szCs w:val="24"/>
        </w:rPr>
        <w:t xml:space="preserve"> </w:t>
      </w:r>
    </w:p>
    <w:p w:rsidR="003F7858" w:rsidRDefault="003F7858" w:rsidP="003F7858">
      <w:pPr>
        <w:ind w:firstLine="720"/>
        <w:jc w:val="both"/>
        <w:rPr>
          <w:rFonts w:ascii="Times New Roman" w:hAnsi="Times New Roman" w:cs="Times New Roman"/>
          <w:sz w:val="24"/>
          <w:szCs w:val="24"/>
        </w:rPr>
      </w:pPr>
      <w:r>
        <w:rPr>
          <w:rFonts w:ascii="Times New Roman" w:hAnsi="Times New Roman" w:cs="Times New Roman"/>
          <w:sz w:val="24"/>
          <w:szCs w:val="24"/>
        </w:rPr>
        <w:t xml:space="preserve">Bartlett. </w:t>
      </w:r>
    </w:p>
    <w:p w:rsidR="00AB00A1" w:rsidRDefault="00AB00A1" w:rsidP="00AB00A1">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MedFlux</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(2008, July 21). DEXA – dual energy x-ray absorptiometry [Video file]. Retrieved </w:t>
      </w:r>
    </w:p>
    <w:p w:rsidR="003F7858" w:rsidRDefault="00AB00A1" w:rsidP="00AB00A1">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BB3B82" w:rsidRPr="00BB3B82">
        <w:rPr>
          <w:rFonts w:ascii="Times New Roman" w:hAnsi="Times New Roman" w:cs="Times New Roman"/>
          <w:sz w:val="24"/>
          <w:szCs w:val="24"/>
        </w:rPr>
        <w:t>http://www.youtube.com/watch?v=7EkK1oMK5A8</w:t>
      </w:r>
    </w:p>
    <w:p w:rsidR="00BB3B82" w:rsidRDefault="00BB3B82" w:rsidP="00BB3B82">
      <w:pPr>
        <w:jc w:val="left"/>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(2008). </w:t>
      </w:r>
      <w:r w:rsidRPr="00BB3B82">
        <w:rPr>
          <w:rFonts w:ascii="Times New Roman" w:hAnsi="Times New Roman" w:cs="Times New Roman"/>
          <w:i/>
          <w:sz w:val="24"/>
          <w:szCs w:val="24"/>
        </w:rPr>
        <w:t>Preventing falls around the house</w:t>
      </w:r>
      <w:r>
        <w:rPr>
          <w:rFonts w:ascii="Times New Roman" w:hAnsi="Times New Roman" w:cs="Times New Roman"/>
          <w:sz w:val="24"/>
          <w:szCs w:val="24"/>
        </w:rPr>
        <w:t xml:space="preserve">. Retrieved from </w:t>
      </w:r>
    </w:p>
    <w:p w:rsidR="00BB3B82" w:rsidRDefault="00BB3B82" w:rsidP="00BB3B82">
      <w:pPr>
        <w:jc w:val="left"/>
        <w:rPr>
          <w:rFonts w:ascii="Times New Roman" w:hAnsi="Times New Roman" w:cs="Times New Roman"/>
          <w:sz w:val="24"/>
          <w:szCs w:val="24"/>
        </w:rPr>
      </w:pPr>
      <w:r>
        <w:rPr>
          <w:rFonts w:ascii="Times New Roman" w:hAnsi="Times New Roman" w:cs="Times New Roman"/>
          <w:sz w:val="24"/>
          <w:szCs w:val="24"/>
        </w:rPr>
        <w:tab/>
      </w:r>
      <w:r w:rsidR="00642193" w:rsidRPr="00642193">
        <w:rPr>
          <w:rFonts w:ascii="Times New Roman" w:hAnsi="Times New Roman" w:cs="Times New Roman"/>
          <w:sz w:val="24"/>
          <w:szCs w:val="24"/>
        </w:rPr>
        <w:t>http://www.nof.org/aboutosteoporosis/preventingfalls/preventingfalls</w:t>
      </w:r>
    </w:p>
    <w:p w:rsidR="00642193" w:rsidRDefault="00642193" w:rsidP="00BB3B82">
      <w:pPr>
        <w:jc w:val="left"/>
        <w:rPr>
          <w:rFonts w:ascii="Times New Roman" w:hAnsi="Times New Roman" w:cs="Times New Roman"/>
          <w:sz w:val="24"/>
          <w:szCs w:val="24"/>
        </w:rPr>
      </w:pPr>
      <w:proofErr w:type="gramStart"/>
      <w:r>
        <w:rPr>
          <w:rFonts w:ascii="Times New Roman" w:hAnsi="Times New Roman" w:cs="Times New Roman"/>
          <w:sz w:val="24"/>
          <w:szCs w:val="24"/>
        </w:rPr>
        <w:t>Paddock, C.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Life’s simple 7 measures for healthy heart.</w:t>
      </w:r>
      <w:proofErr w:type="gramEnd"/>
      <w:r>
        <w:rPr>
          <w:rFonts w:ascii="Times New Roman" w:hAnsi="Times New Roman" w:cs="Times New Roman"/>
          <w:sz w:val="24"/>
          <w:szCs w:val="24"/>
        </w:rPr>
        <w:t xml:space="preserve"> </w:t>
      </w:r>
      <w:proofErr w:type="gramStart"/>
      <w:r w:rsidRPr="00642193">
        <w:rPr>
          <w:rFonts w:ascii="Times New Roman" w:hAnsi="Times New Roman" w:cs="Times New Roman"/>
          <w:i/>
          <w:sz w:val="24"/>
          <w:szCs w:val="24"/>
        </w:rPr>
        <w:t>Medical News Today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 xml:space="preserve">: </w:t>
      </w:r>
    </w:p>
    <w:p w:rsidR="00642193" w:rsidRPr="00642193" w:rsidRDefault="00642193" w:rsidP="00642193">
      <w:pPr>
        <w:ind w:firstLine="720"/>
        <w:jc w:val="left"/>
        <w:rPr>
          <w:rFonts w:ascii="Times New Roman" w:hAnsi="Times New Roman" w:cs="Times New Roman"/>
          <w:sz w:val="24"/>
          <w:szCs w:val="24"/>
        </w:rPr>
      </w:pPr>
      <w:r w:rsidRPr="00642193">
        <w:rPr>
          <w:rFonts w:ascii="Times New Roman" w:hAnsi="Times New Roman" w:cs="Times New Roman"/>
          <w:sz w:val="24"/>
          <w:szCs w:val="24"/>
        </w:rPr>
        <w:t>10.1161/CIRCULATIONAHA.109.192703</w:t>
      </w:r>
    </w:p>
    <w:p w:rsidR="00E878E2" w:rsidRPr="00E878E2" w:rsidRDefault="00E878E2" w:rsidP="00E878E2">
      <w:pPr>
        <w:jc w:val="both"/>
        <w:rPr>
          <w:rFonts w:ascii="Times New Roman" w:hAnsi="Times New Roman" w:cs="Times New Roman"/>
          <w:sz w:val="24"/>
          <w:szCs w:val="24"/>
        </w:rPr>
      </w:pPr>
      <w:proofErr w:type="gramStart"/>
      <w:r>
        <w:rPr>
          <w:rFonts w:ascii="Times New Roman" w:hAnsi="Times New Roman" w:cs="Times New Roman"/>
          <w:sz w:val="24"/>
          <w:szCs w:val="24"/>
        </w:rPr>
        <w:t>Skidmore-Roth</w:t>
      </w:r>
      <w:r w:rsidRPr="00E878E2">
        <w:rPr>
          <w:rFonts w:ascii="Times New Roman" w:hAnsi="Times New Roman" w:cs="Times New Roman"/>
          <w:sz w:val="24"/>
          <w:szCs w:val="24"/>
        </w:rPr>
        <w:t>.</w:t>
      </w:r>
      <w:proofErr w:type="gramEnd"/>
      <w:r w:rsidRPr="00E878E2">
        <w:rPr>
          <w:rFonts w:ascii="Times New Roman" w:hAnsi="Times New Roman" w:cs="Times New Roman"/>
          <w:sz w:val="24"/>
          <w:szCs w:val="24"/>
        </w:rPr>
        <w:t xml:space="preserve"> (2011). </w:t>
      </w:r>
      <w:r w:rsidRPr="00E878E2">
        <w:rPr>
          <w:rFonts w:ascii="Times New Roman" w:hAnsi="Times New Roman" w:cs="Times New Roman"/>
          <w:i/>
          <w:sz w:val="24"/>
          <w:szCs w:val="24"/>
        </w:rPr>
        <w:t>Mosby’s 2012 nursing drug reference</w:t>
      </w:r>
      <w:r w:rsidRPr="00E878E2">
        <w:rPr>
          <w:rFonts w:ascii="Times New Roman" w:hAnsi="Times New Roman" w:cs="Times New Roman"/>
          <w:sz w:val="24"/>
          <w:szCs w:val="24"/>
        </w:rPr>
        <w:t xml:space="preserve"> (25</w:t>
      </w:r>
      <w:r w:rsidRPr="00E878E2">
        <w:rPr>
          <w:rFonts w:ascii="Times New Roman" w:hAnsi="Times New Roman" w:cs="Times New Roman"/>
          <w:sz w:val="24"/>
          <w:szCs w:val="24"/>
          <w:vertAlign w:val="superscript"/>
        </w:rPr>
        <w:t>th</w:t>
      </w:r>
      <w:r w:rsidRPr="00E878E2">
        <w:rPr>
          <w:rFonts w:ascii="Times New Roman" w:hAnsi="Times New Roman" w:cs="Times New Roman"/>
          <w:sz w:val="24"/>
          <w:szCs w:val="24"/>
        </w:rPr>
        <w:t xml:space="preserve"> </w:t>
      </w:r>
      <w:proofErr w:type="gramStart"/>
      <w:r w:rsidRPr="00E878E2">
        <w:rPr>
          <w:rFonts w:ascii="Times New Roman" w:hAnsi="Times New Roman" w:cs="Times New Roman"/>
          <w:sz w:val="24"/>
          <w:szCs w:val="24"/>
        </w:rPr>
        <w:t>ed</w:t>
      </w:r>
      <w:proofErr w:type="gramEnd"/>
      <w:r w:rsidRPr="00E878E2">
        <w:rPr>
          <w:rFonts w:ascii="Times New Roman" w:hAnsi="Times New Roman" w:cs="Times New Roman"/>
          <w:sz w:val="24"/>
          <w:szCs w:val="24"/>
        </w:rPr>
        <w:t xml:space="preserve">.). St. Louis, MO: </w:t>
      </w:r>
    </w:p>
    <w:p w:rsidR="00E878E2" w:rsidRDefault="00E878E2" w:rsidP="00E878E2">
      <w:pPr>
        <w:ind w:firstLine="720"/>
        <w:jc w:val="both"/>
        <w:rPr>
          <w:rFonts w:ascii="Times New Roman" w:hAnsi="Times New Roman" w:cs="Times New Roman"/>
          <w:sz w:val="24"/>
          <w:szCs w:val="24"/>
        </w:rPr>
      </w:pPr>
      <w:proofErr w:type="gramStart"/>
      <w:r w:rsidRPr="00E878E2">
        <w:rPr>
          <w:rFonts w:ascii="Times New Roman" w:hAnsi="Times New Roman" w:cs="Times New Roman"/>
          <w:sz w:val="24"/>
          <w:szCs w:val="24"/>
        </w:rPr>
        <w:t>Author.</w:t>
      </w:r>
      <w:proofErr w:type="gramEnd"/>
    </w:p>
    <w:p w:rsidR="00733252" w:rsidRDefault="0027607D" w:rsidP="00733252">
      <w:pPr>
        <w:jc w:val="left"/>
        <w:rPr>
          <w:rFonts w:ascii="Times New Roman" w:hAnsi="Times New Roman" w:cs="Times New Roman"/>
          <w:sz w:val="24"/>
          <w:szCs w:val="24"/>
        </w:rPr>
      </w:pPr>
      <w:proofErr w:type="gramStart"/>
      <w:r>
        <w:rPr>
          <w:rFonts w:ascii="Times New Roman" w:hAnsi="Times New Roman" w:cs="Times New Roman"/>
          <w:sz w:val="24"/>
          <w:szCs w:val="24"/>
        </w:rPr>
        <w:t>Smith, C.</w:t>
      </w:r>
      <w:r w:rsidR="00733252">
        <w:rPr>
          <w:rFonts w:ascii="Times New Roman" w:hAnsi="Times New Roman" w:cs="Times New Roman"/>
          <w:sz w:val="24"/>
          <w:szCs w:val="24"/>
        </w:rPr>
        <w:t>, &amp; Cotter, V. (2008).</w:t>
      </w:r>
      <w:proofErr w:type="gramEnd"/>
      <w:r w:rsidR="00733252">
        <w:rPr>
          <w:rFonts w:ascii="Times New Roman" w:hAnsi="Times New Roman" w:cs="Times New Roman"/>
          <w:sz w:val="24"/>
          <w:szCs w:val="24"/>
        </w:rPr>
        <w:t xml:space="preserve"> </w:t>
      </w:r>
      <w:proofErr w:type="gramStart"/>
      <w:r w:rsidR="00733252" w:rsidRPr="00733252">
        <w:rPr>
          <w:rFonts w:ascii="Times New Roman" w:hAnsi="Times New Roman" w:cs="Times New Roman"/>
          <w:i/>
          <w:sz w:val="24"/>
          <w:szCs w:val="24"/>
        </w:rPr>
        <w:t>Normal aging changes</w:t>
      </w:r>
      <w:r w:rsidR="00733252">
        <w:rPr>
          <w:rFonts w:ascii="Times New Roman" w:hAnsi="Times New Roman" w:cs="Times New Roman"/>
          <w:sz w:val="24"/>
          <w:szCs w:val="24"/>
        </w:rPr>
        <w:t>.</w:t>
      </w:r>
      <w:proofErr w:type="gramEnd"/>
      <w:r w:rsidR="00733252">
        <w:rPr>
          <w:rFonts w:ascii="Times New Roman" w:hAnsi="Times New Roman" w:cs="Times New Roman"/>
          <w:sz w:val="24"/>
          <w:szCs w:val="24"/>
        </w:rPr>
        <w:t xml:space="preserve"> Retrieved from </w:t>
      </w:r>
      <w:r w:rsidR="00733252" w:rsidRPr="00733252">
        <w:rPr>
          <w:rFonts w:ascii="Times New Roman" w:hAnsi="Times New Roman" w:cs="Times New Roman"/>
          <w:sz w:val="24"/>
          <w:szCs w:val="24"/>
        </w:rPr>
        <w:t>http://consult</w:t>
      </w:r>
    </w:p>
    <w:p w:rsidR="0027607D" w:rsidRDefault="00733252" w:rsidP="00733252">
      <w:pPr>
        <w:ind w:firstLine="720"/>
        <w:jc w:val="left"/>
        <w:rPr>
          <w:rFonts w:ascii="Times New Roman" w:hAnsi="Times New Roman" w:cs="Times New Roman"/>
          <w:sz w:val="24"/>
          <w:szCs w:val="24"/>
        </w:rPr>
      </w:pPr>
      <w:r w:rsidRPr="00733252">
        <w:rPr>
          <w:rFonts w:ascii="Times New Roman" w:hAnsi="Times New Roman" w:cs="Times New Roman"/>
          <w:sz w:val="24"/>
          <w:szCs w:val="24"/>
        </w:rPr>
        <w:t>gerirn.org/topics/</w:t>
      </w:r>
      <w:proofErr w:type="spellStart"/>
      <w:r w:rsidRPr="00733252">
        <w:rPr>
          <w:rFonts w:ascii="Times New Roman" w:hAnsi="Times New Roman" w:cs="Times New Roman"/>
          <w:sz w:val="24"/>
          <w:szCs w:val="24"/>
        </w:rPr>
        <w:t>normal_aging_changes</w:t>
      </w:r>
      <w:proofErr w:type="spellEnd"/>
      <w:r w:rsidRPr="00733252">
        <w:rPr>
          <w:rFonts w:ascii="Times New Roman" w:hAnsi="Times New Roman" w:cs="Times New Roman"/>
          <w:sz w:val="24"/>
          <w:szCs w:val="24"/>
        </w:rPr>
        <w:t>/want_to_know_more#item_4</w:t>
      </w:r>
    </w:p>
    <w:p w:rsidR="00304655" w:rsidRDefault="000D254D" w:rsidP="000D254D">
      <w:pPr>
        <w:jc w:val="left"/>
        <w:rPr>
          <w:rFonts w:ascii="Times New Roman" w:hAnsi="Times New Roman" w:cs="Times New Roman"/>
          <w:sz w:val="24"/>
          <w:szCs w:val="24"/>
        </w:rPr>
      </w:pPr>
      <w:r>
        <w:rPr>
          <w:rFonts w:ascii="Times New Roman" w:hAnsi="Times New Roman" w:cs="Times New Roman"/>
          <w:sz w:val="24"/>
          <w:szCs w:val="24"/>
        </w:rPr>
        <w:t xml:space="preserve">U.S. Department of Health and Human Services, National </w:t>
      </w:r>
      <w:r w:rsidR="00304655">
        <w:rPr>
          <w:rFonts w:ascii="Times New Roman" w:hAnsi="Times New Roman" w:cs="Times New Roman"/>
          <w:sz w:val="24"/>
          <w:szCs w:val="24"/>
        </w:rPr>
        <w:t>Institutes</w:t>
      </w:r>
      <w:r>
        <w:rPr>
          <w:rFonts w:ascii="Times New Roman" w:hAnsi="Times New Roman" w:cs="Times New Roman"/>
          <w:sz w:val="24"/>
          <w:szCs w:val="24"/>
        </w:rPr>
        <w:t xml:space="preserve"> </w:t>
      </w:r>
      <w:r w:rsidR="00304655">
        <w:rPr>
          <w:rFonts w:ascii="Times New Roman" w:hAnsi="Times New Roman" w:cs="Times New Roman"/>
          <w:sz w:val="24"/>
          <w:szCs w:val="24"/>
        </w:rPr>
        <w:t xml:space="preserve">of Health, National Heart, </w:t>
      </w:r>
    </w:p>
    <w:p w:rsidR="00304655" w:rsidRDefault="00304655" w:rsidP="00304655">
      <w:pPr>
        <w:ind w:left="720"/>
        <w:jc w:val="left"/>
        <w:rPr>
          <w:rFonts w:ascii="Times New Roman" w:hAnsi="Times New Roman" w:cs="Times New Roman"/>
          <w:sz w:val="24"/>
          <w:szCs w:val="24"/>
        </w:rPr>
      </w:pPr>
      <w:proofErr w:type="gramStart"/>
      <w:r>
        <w:rPr>
          <w:rFonts w:ascii="Times New Roman" w:hAnsi="Times New Roman" w:cs="Times New Roman"/>
          <w:sz w:val="24"/>
          <w:szCs w:val="24"/>
        </w:rPr>
        <w:t>Lung</w:t>
      </w:r>
      <w:r w:rsidR="000D254D">
        <w:rPr>
          <w:rFonts w:ascii="Times New Roman" w:hAnsi="Times New Roman" w:cs="Times New Roman"/>
          <w:sz w:val="24"/>
          <w:szCs w:val="24"/>
        </w:rPr>
        <w:t xml:space="preserve"> and Blood Institute.</w:t>
      </w:r>
      <w:proofErr w:type="gramEnd"/>
      <w:r w:rsidR="000D254D">
        <w:rPr>
          <w:rFonts w:ascii="Times New Roman" w:hAnsi="Times New Roman" w:cs="Times New Roman"/>
          <w:sz w:val="24"/>
          <w:szCs w:val="24"/>
        </w:rPr>
        <w:t xml:space="preserve"> </w:t>
      </w:r>
      <w:r>
        <w:rPr>
          <w:rFonts w:ascii="Times New Roman" w:hAnsi="Times New Roman" w:cs="Times New Roman"/>
          <w:sz w:val="24"/>
          <w:szCs w:val="24"/>
        </w:rPr>
        <w:t xml:space="preserve">(2006). </w:t>
      </w:r>
      <w:proofErr w:type="gramStart"/>
      <w:r w:rsidRPr="00743BDD">
        <w:rPr>
          <w:rFonts w:ascii="Times New Roman" w:hAnsi="Times New Roman" w:cs="Times New Roman"/>
          <w:i/>
          <w:color w:val="FF0000"/>
          <w:sz w:val="24"/>
          <w:szCs w:val="24"/>
        </w:rPr>
        <w:t>Your</w:t>
      </w:r>
      <w:proofErr w:type="gramEnd"/>
      <w:r w:rsidRPr="00743BDD">
        <w:rPr>
          <w:rFonts w:ascii="Times New Roman" w:hAnsi="Times New Roman" w:cs="Times New Roman"/>
          <w:i/>
          <w:color w:val="FF0000"/>
          <w:sz w:val="24"/>
          <w:szCs w:val="24"/>
        </w:rPr>
        <w:t xml:space="preserve"> guide to lowering your blood pressure with dash</w:t>
      </w:r>
      <w:r>
        <w:rPr>
          <w:rFonts w:ascii="Times New Roman" w:hAnsi="Times New Roman" w:cs="Times New Roman"/>
          <w:sz w:val="24"/>
          <w:szCs w:val="24"/>
        </w:rPr>
        <w:t xml:space="preserve"> (NIH Publication No. 06-4082). Retrieved from </w:t>
      </w:r>
      <w:r w:rsidRPr="00304655">
        <w:rPr>
          <w:rFonts w:ascii="Times New Roman" w:hAnsi="Times New Roman" w:cs="Times New Roman"/>
          <w:sz w:val="24"/>
          <w:szCs w:val="24"/>
        </w:rPr>
        <w:t>http://www.nhlbi.nih.gov/</w:t>
      </w:r>
    </w:p>
    <w:p w:rsidR="006140AD" w:rsidRPr="006140AD" w:rsidRDefault="00304655" w:rsidP="0060116D">
      <w:pPr>
        <w:ind w:left="720"/>
        <w:jc w:val="left"/>
        <w:rPr>
          <w:rFonts w:ascii="Times New Roman" w:hAnsi="Times New Roman" w:cs="Times New Roman"/>
          <w:sz w:val="24"/>
          <w:szCs w:val="24"/>
        </w:rPr>
      </w:pPr>
      <w:r w:rsidRPr="00304655">
        <w:rPr>
          <w:rFonts w:ascii="Times New Roman" w:hAnsi="Times New Roman" w:cs="Times New Roman"/>
          <w:sz w:val="24"/>
          <w:szCs w:val="24"/>
        </w:rPr>
        <w:t>health/public/heart/</w:t>
      </w:r>
      <w:proofErr w:type="spellStart"/>
      <w:r w:rsidRPr="00304655">
        <w:rPr>
          <w:rFonts w:ascii="Times New Roman" w:hAnsi="Times New Roman" w:cs="Times New Roman"/>
          <w:sz w:val="24"/>
          <w:szCs w:val="24"/>
        </w:rPr>
        <w:t>hbp</w:t>
      </w:r>
      <w:proofErr w:type="spellEnd"/>
      <w:r w:rsidRPr="00304655">
        <w:rPr>
          <w:rFonts w:ascii="Times New Roman" w:hAnsi="Times New Roman" w:cs="Times New Roman"/>
          <w:sz w:val="24"/>
          <w:szCs w:val="24"/>
        </w:rPr>
        <w:t>/dash/new_dash.pdf</w:t>
      </w:r>
    </w:p>
    <w:sectPr w:rsidR="006140AD" w:rsidRPr="006140AD"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0:24:00Z" w:initials="M">
    <w:p w:rsidR="00CD326F" w:rsidRDefault="00CD326F">
      <w:pPr>
        <w:pStyle w:val="CommentText"/>
      </w:pPr>
      <w:r>
        <w:rPr>
          <w:rStyle w:val="CommentReference"/>
        </w:rPr>
        <w:annotationRef/>
      </w:r>
      <w:r>
        <w:t xml:space="preserve">Here the </w:t>
      </w:r>
      <w:proofErr w:type="spellStart"/>
      <w:r>
        <w:t>oscal</w:t>
      </w:r>
      <w:proofErr w:type="spellEnd"/>
      <w:r>
        <w:t xml:space="preserve"> is used for a calcium supplement not a antacid</w:t>
      </w:r>
    </w:p>
  </w:comment>
  <w:comment w:id="1" w:author="Mary" w:date="2012-03-12T20:25:00Z" w:initials="M">
    <w:p w:rsidR="00CD326F" w:rsidRDefault="00CD326F">
      <w:pPr>
        <w:pStyle w:val="CommentText"/>
      </w:pPr>
      <w:r>
        <w:rPr>
          <w:rStyle w:val="CommentReference"/>
        </w:rPr>
        <w:annotationRef/>
      </w:r>
      <w:r>
        <w:t>Need pg nu for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1AB" w:rsidRDefault="002721AB" w:rsidP="000451B0">
      <w:pPr>
        <w:spacing w:line="240" w:lineRule="auto"/>
      </w:pPr>
      <w:r>
        <w:separator/>
      </w:r>
    </w:p>
  </w:endnote>
  <w:endnote w:type="continuationSeparator" w:id="0">
    <w:p w:rsidR="002721AB" w:rsidRDefault="002721AB"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1AB" w:rsidRDefault="002721AB" w:rsidP="000451B0">
      <w:pPr>
        <w:spacing w:line="240" w:lineRule="auto"/>
      </w:pPr>
      <w:r>
        <w:separator/>
      </w:r>
    </w:p>
  </w:footnote>
  <w:footnote w:type="continuationSeparator" w:id="0">
    <w:p w:rsidR="002721AB" w:rsidRDefault="002721AB"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FF" w:rsidRPr="00F23FCE" w:rsidRDefault="005E63FF" w:rsidP="00F23FCE">
    <w:pPr>
      <w:pStyle w:val="Header"/>
      <w:jc w:val="both"/>
      <w:rPr>
        <w:rFonts w:ascii="Times New Roman" w:hAnsi="Times New Roman" w:cs="Times New Roman"/>
        <w:sz w:val="24"/>
        <w:szCs w:val="24"/>
      </w:rPr>
    </w:pPr>
    <w:r>
      <w:rPr>
        <w:rFonts w:ascii="Times New Roman" w:hAnsi="Times New Roman" w:cs="Times New Roman"/>
        <w:sz w:val="24"/>
        <w:szCs w:val="24"/>
      </w:rPr>
      <w:t xml:space="preserve">CASE STUDY </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ED07C0"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ED07C0" w:rsidRPr="00F23FCE">
          <w:rPr>
            <w:rFonts w:ascii="Times New Roman" w:hAnsi="Times New Roman" w:cs="Times New Roman"/>
            <w:sz w:val="24"/>
            <w:szCs w:val="24"/>
          </w:rPr>
          <w:fldChar w:fldCharType="separate"/>
        </w:r>
        <w:r w:rsidR="00743BDD">
          <w:rPr>
            <w:rFonts w:ascii="Times New Roman" w:hAnsi="Times New Roman" w:cs="Times New Roman"/>
            <w:noProof/>
            <w:sz w:val="24"/>
            <w:szCs w:val="24"/>
          </w:rPr>
          <w:t>2</w:t>
        </w:r>
        <w:r w:rsidR="00ED07C0" w:rsidRPr="00F23FCE">
          <w:rPr>
            <w:rFonts w:ascii="Times New Roman" w:hAnsi="Times New Roman" w:cs="Times New Roman"/>
            <w:sz w:val="24"/>
            <w:szCs w:val="24"/>
          </w:rPr>
          <w:fldChar w:fldCharType="end"/>
        </w:r>
      </w:sdtContent>
    </w:sdt>
  </w:p>
  <w:p w:rsidR="005E63FF" w:rsidRDefault="005E6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FF" w:rsidRDefault="005E63FF"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w:t>
    </w:r>
    <w:r>
      <w:tab/>
    </w:r>
    <w:r>
      <w:tab/>
    </w:r>
    <w:r w:rsidRPr="001F5F95">
      <w:rPr>
        <w:rFonts w:ascii="Times New Roman" w:hAnsi="Times New Roman" w:cs="Times New Roman"/>
        <w:sz w:val="24"/>
        <w:szCs w:val="24"/>
      </w:rPr>
      <w:t>1</w:t>
    </w:r>
  </w:p>
  <w:p w:rsidR="005E63FF" w:rsidRDefault="005E63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EA0E22"/>
    <w:rsid w:val="00023A24"/>
    <w:rsid w:val="00030F53"/>
    <w:rsid w:val="00031B0C"/>
    <w:rsid w:val="00043353"/>
    <w:rsid w:val="000451B0"/>
    <w:rsid w:val="00047F5F"/>
    <w:rsid w:val="00053657"/>
    <w:rsid w:val="00071DC1"/>
    <w:rsid w:val="00074190"/>
    <w:rsid w:val="000801F6"/>
    <w:rsid w:val="00083594"/>
    <w:rsid w:val="000B2CCB"/>
    <w:rsid w:val="000B7D65"/>
    <w:rsid w:val="000C3F96"/>
    <w:rsid w:val="000C6DF0"/>
    <w:rsid w:val="000C700F"/>
    <w:rsid w:val="000D0841"/>
    <w:rsid w:val="000D254D"/>
    <w:rsid w:val="000E33A1"/>
    <w:rsid w:val="000F53E9"/>
    <w:rsid w:val="001254BF"/>
    <w:rsid w:val="00152BD2"/>
    <w:rsid w:val="001672C9"/>
    <w:rsid w:val="001A18F8"/>
    <w:rsid w:val="001C7E08"/>
    <w:rsid w:val="001D266A"/>
    <w:rsid w:val="001F5F95"/>
    <w:rsid w:val="002048EC"/>
    <w:rsid w:val="00217DFC"/>
    <w:rsid w:val="00237F46"/>
    <w:rsid w:val="002413C3"/>
    <w:rsid w:val="002721AB"/>
    <w:rsid w:val="0027607D"/>
    <w:rsid w:val="002B352A"/>
    <w:rsid w:val="002D11E3"/>
    <w:rsid w:val="002F5943"/>
    <w:rsid w:val="00304655"/>
    <w:rsid w:val="003269B2"/>
    <w:rsid w:val="00327B30"/>
    <w:rsid w:val="00334DF4"/>
    <w:rsid w:val="003414A3"/>
    <w:rsid w:val="00344E8C"/>
    <w:rsid w:val="00350883"/>
    <w:rsid w:val="00363676"/>
    <w:rsid w:val="0037468D"/>
    <w:rsid w:val="00376FB2"/>
    <w:rsid w:val="00390863"/>
    <w:rsid w:val="003921C7"/>
    <w:rsid w:val="00392ED3"/>
    <w:rsid w:val="003B14B7"/>
    <w:rsid w:val="003D7D93"/>
    <w:rsid w:val="003E133F"/>
    <w:rsid w:val="003F5F5F"/>
    <w:rsid w:val="003F7858"/>
    <w:rsid w:val="004067E4"/>
    <w:rsid w:val="00410C69"/>
    <w:rsid w:val="00465941"/>
    <w:rsid w:val="00472EC3"/>
    <w:rsid w:val="004923CB"/>
    <w:rsid w:val="004968CA"/>
    <w:rsid w:val="004A0C85"/>
    <w:rsid w:val="004B5C94"/>
    <w:rsid w:val="004D78C2"/>
    <w:rsid w:val="0050597C"/>
    <w:rsid w:val="00510904"/>
    <w:rsid w:val="0051312D"/>
    <w:rsid w:val="00523656"/>
    <w:rsid w:val="00526A80"/>
    <w:rsid w:val="00530DC0"/>
    <w:rsid w:val="005369D5"/>
    <w:rsid w:val="00536D29"/>
    <w:rsid w:val="00541DAC"/>
    <w:rsid w:val="00551785"/>
    <w:rsid w:val="00553EA1"/>
    <w:rsid w:val="00557289"/>
    <w:rsid w:val="00574B0F"/>
    <w:rsid w:val="00575FFA"/>
    <w:rsid w:val="005E2A3F"/>
    <w:rsid w:val="005E63FF"/>
    <w:rsid w:val="005E6DFB"/>
    <w:rsid w:val="0060116D"/>
    <w:rsid w:val="006103F3"/>
    <w:rsid w:val="006140AD"/>
    <w:rsid w:val="00637C45"/>
    <w:rsid w:val="00641F9D"/>
    <w:rsid w:val="00642193"/>
    <w:rsid w:val="00674F28"/>
    <w:rsid w:val="00696F31"/>
    <w:rsid w:val="006F205A"/>
    <w:rsid w:val="00712D56"/>
    <w:rsid w:val="0071391C"/>
    <w:rsid w:val="007239DE"/>
    <w:rsid w:val="00733252"/>
    <w:rsid w:val="00743BDD"/>
    <w:rsid w:val="00763A7D"/>
    <w:rsid w:val="007B69BC"/>
    <w:rsid w:val="007D465B"/>
    <w:rsid w:val="008073D8"/>
    <w:rsid w:val="0082758E"/>
    <w:rsid w:val="008627D0"/>
    <w:rsid w:val="008A4802"/>
    <w:rsid w:val="008B1030"/>
    <w:rsid w:val="008B2514"/>
    <w:rsid w:val="008C579E"/>
    <w:rsid w:val="008D08D6"/>
    <w:rsid w:val="008F28C9"/>
    <w:rsid w:val="008F4F12"/>
    <w:rsid w:val="0091338E"/>
    <w:rsid w:val="00985DA1"/>
    <w:rsid w:val="009936D4"/>
    <w:rsid w:val="00996CB3"/>
    <w:rsid w:val="009C1E1C"/>
    <w:rsid w:val="009E144C"/>
    <w:rsid w:val="00A01B1D"/>
    <w:rsid w:val="00A04325"/>
    <w:rsid w:val="00A04DDF"/>
    <w:rsid w:val="00A14746"/>
    <w:rsid w:val="00A212BB"/>
    <w:rsid w:val="00A34C53"/>
    <w:rsid w:val="00A67ED5"/>
    <w:rsid w:val="00A717B3"/>
    <w:rsid w:val="00A74591"/>
    <w:rsid w:val="00A75DDE"/>
    <w:rsid w:val="00A77C89"/>
    <w:rsid w:val="00A8072C"/>
    <w:rsid w:val="00AB00A1"/>
    <w:rsid w:val="00AE1FD6"/>
    <w:rsid w:val="00AE59A0"/>
    <w:rsid w:val="00AF10FB"/>
    <w:rsid w:val="00B02264"/>
    <w:rsid w:val="00B07B08"/>
    <w:rsid w:val="00B31B81"/>
    <w:rsid w:val="00B5304F"/>
    <w:rsid w:val="00B675D3"/>
    <w:rsid w:val="00B96281"/>
    <w:rsid w:val="00BB3B82"/>
    <w:rsid w:val="00C010F6"/>
    <w:rsid w:val="00C1388A"/>
    <w:rsid w:val="00C3376A"/>
    <w:rsid w:val="00C44C0E"/>
    <w:rsid w:val="00C701B6"/>
    <w:rsid w:val="00CC0C1B"/>
    <w:rsid w:val="00CC2C0F"/>
    <w:rsid w:val="00CD326F"/>
    <w:rsid w:val="00CF732B"/>
    <w:rsid w:val="00D03C03"/>
    <w:rsid w:val="00D23266"/>
    <w:rsid w:val="00D31836"/>
    <w:rsid w:val="00D44EB0"/>
    <w:rsid w:val="00D50630"/>
    <w:rsid w:val="00D50C0F"/>
    <w:rsid w:val="00DC19FB"/>
    <w:rsid w:val="00DE1247"/>
    <w:rsid w:val="00DE51CF"/>
    <w:rsid w:val="00DE53F7"/>
    <w:rsid w:val="00DF086A"/>
    <w:rsid w:val="00DF33B9"/>
    <w:rsid w:val="00E21F6A"/>
    <w:rsid w:val="00E25CB2"/>
    <w:rsid w:val="00E37C40"/>
    <w:rsid w:val="00E47CFE"/>
    <w:rsid w:val="00E50801"/>
    <w:rsid w:val="00E53841"/>
    <w:rsid w:val="00E65877"/>
    <w:rsid w:val="00E65B1D"/>
    <w:rsid w:val="00E67702"/>
    <w:rsid w:val="00E83D34"/>
    <w:rsid w:val="00E878E2"/>
    <w:rsid w:val="00E95678"/>
    <w:rsid w:val="00EA0E22"/>
    <w:rsid w:val="00EC0FC5"/>
    <w:rsid w:val="00ED07C0"/>
    <w:rsid w:val="00ED3B80"/>
    <w:rsid w:val="00ED4939"/>
    <w:rsid w:val="00EE6A53"/>
    <w:rsid w:val="00EF3A7F"/>
    <w:rsid w:val="00EF7670"/>
    <w:rsid w:val="00F06760"/>
    <w:rsid w:val="00F1081A"/>
    <w:rsid w:val="00F23FCE"/>
    <w:rsid w:val="00F36331"/>
    <w:rsid w:val="00F44689"/>
    <w:rsid w:val="00FA5B59"/>
    <w:rsid w:val="00FA6FBB"/>
    <w:rsid w:val="00FB1853"/>
    <w:rsid w:val="00FC2D18"/>
    <w:rsid w:val="00FC62A0"/>
    <w:rsid w:val="00FE14B3"/>
    <w:rsid w:val="00FE55D0"/>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 w:type="character" w:styleId="CommentReference">
    <w:name w:val="annotation reference"/>
    <w:basedOn w:val="DefaultParagraphFont"/>
    <w:uiPriority w:val="99"/>
    <w:semiHidden/>
    <w:unhideWhenUsed/>
    <w:rsid w:val="00CD326F"/>
    <w:rPr>
      <w:sz w:val="16"/>
      <w:szCs w:val="16"/>
    </w:rPr>
  </w:style>
  <w:style w:type="paragraph" w:styleId="CommentText">
    <w:name w:val="annotation text"/>
    <w:basedOn w:val="Normal"/>
    <w:link w:val="CommentTextChar"/>
    <w:uiPriority w:val="99"/>
    <w:semiHidden/>
    <w:unhideWhenUsed/>
    <w:rsid w:val="00CD326F"/>
    <w:pPr>
      <w:spacing w:line="240" w:lineRule="auto"/>
    </w:pPr>
    <w:rPr>
      <w:sz w:val="20"/>
      <w:szCs w:val="20"/>
    </w:rPr>
  </w:style>
  <w:style w:type="character" w:customStyle="1" w:styleId="CommentTextChar">
    <w:name w:val="Comment Text Char"/>
    <w:basedOn w:val="DefaultParagraphFont"/>
    <w:link w:val="CommentText"/>
    <w:uiPriority w:val="99"/>
    <w:semiHidden/>
    <w:rsid w:val="00CD326F"/>
    <w:rPr>
      <w:sz w:val="20"/>
      <w:szCs w:val="20"/>
    </w:rPr>
  </w:style>
  <w:style w:type="paragraph" w:styleId="CommentSubject">
    <w:name w:val="annotation subject"/>
    <w:basedOn w:val="CommentText"/>
    <w:next w:val="CommentText"/>
    <w:link w:val="CommentSubjectChar"/>
    <w:uiPriority w:val="99"/>
    <w:semiHidden/>
    <w:unhideWhenUsed/>
    <w:rsid w:val="00CD326F"/>
    <w:rPr>
      <w:b/>
      <w:bCs/>
    </w:rPr>
  </w:style>
  <w:style w:type="character" w:customStyle="1" w:styleId="CommentSubjectChar">
    <w:name w:val="Comment Subject Char"/>
    <w:basedOn w:val="CommentTextChar"/>
    <w:link w:val="CommentSubject"/>
    <w:uiPriority w:val="99"/>
    <w:semiHidden/>
    <w:rsid w:val="00CD326F"/>
    <w:rPr>
      <w:b/>
      <w:bCs/>
    </w:rPr>
  </w:style>
  <w:style w:type="paragraph" w:styleId="BalloonText">
    <w:name w:val="Balloon Text"/>
    <w:basedOn w:val="Normal"/>
    <w:link w:val="BalloonTextChar"/>
    <w:uiPriority w:val="99"/>
    <w:semiHidden/>
    <w:unhideWhenUsed/>
    <w:rsid w:val="00CD3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4E3F-B7BA-40FB-9221-AD5E382B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1998</Words>
  <Characters>11392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2012-03-13T01:37:00Z</dcterms:created>
  <dcterms:modified xsi:type="dcterms:W3CDTF">2012-03-13T01:37:00Z</dcterms:modified>
</cp:coreProperties>
</file>