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BD2F05">
        <w:t xml:space="preserve"> 4</w:t>
      </w:r>
      <w:r w:rsidR="007D2358">
        <w:t>-</w:t>
      </w:r>
      <w:r w:rsidR="00447AD4">
        <w:t>1</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BD2F05">
        <w:t>4</w:t>
      </w:r>
      <w:r w:rsidR="007D2358">
        <w:t>-</w:t>
      </w:r>
      <w:r>
        <w:t>1</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447AD4" w:rsidP="008A03A2">
      <w:pPr>
        <w:spacing w:line="480" w:lineRule="auto"/>
        <w:jc w:val="center"/>
      </w:pPr>
      <w:r>
        <w:t xml:space="preserve">May </w:t>
      </w:r>
      <w:r w:rsidR="00BD2F05">
        <w:t>29</w:t>
      </w:r>
      <w:r w:rsidR="00AD7ADD">
        <w:t>, 2011</w:t>
      </w:r>
    </w:p>
    <w:p w:rsidR="006B3A56" w:rsidRDefault="00305767" w:rsidP="006B3A56">
      <w:pPr>
        <w:spacing w:line="480" w:lineRule="auto"/>
      </w:pPr>
      <w:r>
        <w:br w:type="page"/>
      </w:r>
      <w:r w:rsidR="006B3A56">
        <w:lastRenderedPageBreak/>
        <w:t xml:space="preserve"> </w:t>
      </w:r>
      <w:r w:rsidR="00447AD4">
        <w:t xml:space="preserve">CASE STUDY </w:t>
      </w:r>
      <w:r w:rsidR="00BD2F05">
        <w:t>4</w:t>
      </w:r>
      <w:r w:rsidR="007D2358">
        <w:t>-</w:t>
      </w:r>
      <w:r w:rsidR="00447AD4">
        <w:t>1</w:t>
      </w:r>
      <w:r w:rsidR="00447AD4">
        <w:tab/>
      </w:r>
      <w:r w:rsidR="00447AD4">
        <w:tab/>
      </w:r>
      <w:r w:rsidR="00447AD4">
        <w:tab/>
      </w:r>
      <w:r w:rsidR="00447AD4">
        <w:tab/>
      </w:r>
      <w:r w:rsidR="00447AD4">
        <w:tab/>
      </w:r>
      <w:r w:rsidR="00447AD4">
        <w:tab/>
      </w:r>
      <w:r w:rsidR="00447AD4">
        <w:tab/>
      </w:r>
      <w:r w:rsidR="00447AD4">
        <w:tab/>
      </w:r>
      <w:r w:rsidR="00447AD4">
        <w:tab/>
      </w:r>
      <w:r w:rsidR="00AD7ADD">
        <w:t xml:space="preserve">                      </w:t>
      </w:r>
      <w:r w:rsidR="006B3A56">
        <w:t>2</w:t>
      </w:r>
    </w:p>
    <w:p w:rsidR="006B3A56" w:rsidRDefault="006B3A56" w:rsidP="00F179BF">
      <w:pPr>
        <w:spacing w:line="480" w:lineRule="auto"/>
        <w:jc w:val="center"/>
      </w:pPr>
    </w:p>
    <w:p w:rsidR="008A03A2" w:rsidRPr="00461FCB" w:rsidRDefault="00A5268C" w:rsidP="00F179BF">
      <w:pPr>
        <w:spacing w:line="480" w:lineRule="auto"/>
        <w:jc w:val="center"/>
        <w:rPr>
          <w:b/>
        </w:rPr>
      </w:pPr>
      <w:r>
        <w:rPr>
          <w:b/>
        </w:rPr>
        <w:t>Aging Changes and Communication</w:t>
      </w:r>
    </w:p>
    <w:p w:rsidR="00447AD4" w:rsidRDefault="00447AD4" w:rsidP="00447AD4">
      <w:pPr>
        <w:spacing w:line="480" w:lineRule="auto"/>
      </w:pPr>
      <w:r>
        <w:tab/>
        <w:t xml:space="preserve">The purpose of this paper </w:t>
      </w:r>
      <w:r w:rsidR="00670605">
        <w:t>to explore aging related changes that may be instrumental in providing optimal treatment for Mrs. Schmidt.  Mrs. Schmidt has several complications towards her treatment. The patient’s reactions to changes in her treatment suggest much more is happening than was detected in the initial assessment.</w:t>
      </w:r>
      <w:r w:rsidR="00BD70AC">
        <w:t>(Mauk, 2010)</w:t>
      </w:r>
    </w:p>
    <w:p w:rsidR="00EC348F" w:rsidRDefault="00A5268C" w:rsidP="00EC348F">
      <w:pPr>
        <w:spacing w:line="480" w:lineRule="auto"/>
        <w:jc w:val="center"/>
        <w:rPr>
          <w:b/>
        </w:rPr>
      </w:pPr>
      <w:r>
        <w:rPr>
          <w:b/>
        </w:rPr>
        <w:t>Potential Challenges of Communication with the Aged</w:t>
      </w:r>
    </w:p>
    <w:p w:rsidR="00730080" w:rsidRDefault="00730080" w:rsidP="00730080">
      <w:pPr>
        <w:spacing w:line="480" w:lineRule="auto"/>
      </w:pPr>
      <w:r>
        <w:tab/>
      </w:r>
      <w:r w:rsidRPr="00730080">
        <w:t xml:space="preserve">Mrs. Schmidt’s </w:t>
      </w:r>
      <w:r>
        <w:t>request to speak with the doctor and request for another weaning trial suggests she did not understand her interactions with the physician. Whether she did not hear him, was depressed and failed to interact or could not see him adequately is not known. The reason behind this particular misunderstanding may reveal barriers to communication with Mrs. Schmidt.</w:t>
      </w:r>
    </w:p>
    <w:p w:rsidR="00730080" w:rsidRPr="00730080" w:rsidRDefault="00730080" w:rsidP="00730080">
      <w:pPr>
        <w:spacing w:line="480" w:lineRule="auto"/>
      </w:pPr>
      <w:r>
        <w:tab/>
        <w:t xml:space="preserve">Dementia, delirium, </w:t>
      </w:r>
      <w:r w:rsidR="008A700F">
        <w:t>Alzheimer’s</w:t>
      </w:r>
      <w:r>
        <w:t xml:space="preserve"> and many other diseases and conditions interrupt communications with the aged. Each specific condition and the varying degrees in which the individual are affected must be taken into consideration when providing care.</w:t>
      </w:r>
      <w:r w:rsidRPr="00730080">
        <w:t xml:space="preserve"> </w:t>
      </w:r>
      <w:r>
        <w:t xml:space="preserve">Reassessment of the situation is necessary whenever changes occur. Mrs. Schmidt may have simply been unable to hear the doctor over the sounds of her ventilator. </w:t>
      </w:r>
      <w:r w:rsidR="00CD7509">
        <w:t>(Mauk, 2010)</w:t>
      </w:r>
    </w:p>
    <w:p w:rsidR="00461FCB" w:rsidRDefault="00A5268C" w:rsidP="00461FCB">
      <w:pPr>
        <w:spacing w:line="480" w:lineRule="auto"/>
        <w:jc w:val="center"/>
        <w:rPr>
          <w:b/>
        </w:rPr>
      </w:pPr>
      <w:r>
        <w:rPr>
          <w:b/>
        </w:rPr>
        <w:t>Assessing Communication Challenges with the Aged</w:t>
      </w:r>
    </w:p>
    <w:p w:rsidR="008A700F" w:rsidRDefault="00D074D7" w:rsidP="00311E49">
      <w:pPr>
        <w:spacing w:line="480" w:lineRule="auto"/>
      </w:pPr>
      <w:r>
        <w:rPr>
          <w:b/>
        </w:rPr>
        <w:tab/>
      </w:r>
      <w:r w:rsidR="00311E49">
        <w:t xml:space="preserve">Communication assessment needs to take in age-related </w:t>
      </w:r>
      <w:r w:rsidR="008A700F">
        <w:t>changes, heredity</w:t>
      </w:r>
      <w:r w:rsidR="00311E49">
        <w:t xml:space="preserve">, diseases and lifestyle. The older adult is the best source of information regarding their health. Family members and caregivers are secondary sources. When unable to self report, performance measures provide information. </w:t>
      </w:r>
      <w:r w:rsidR="008A700F">
        <w:t>Ability</w:t>
      </w:r>
      <w:r w:rsidR="00311E49">
        <w:t xml:space="preserve"> should first be addressed then disability building on </w:t>
      </w:r>
    </w:p>
    <w:p w:rsidR="008A700F" w:rsidRDefault="008A700F" w:rsidP="00311E49">
      <w:pPr>
        <w:spacing w:line="480" w:lineRule="auto"/>
      </w:pPr>
      <w:r>
        <w:lastRenderedPageBreak/>
        <w:t>CASE STUDY 4-1</w:t>
      </w:r>
      <w:r>
        <w:tab/>
      </w:r>
      <w:r>
        <w:tab/>
      </w:r>
      <w:r>
        <w:tab/>
      </w:r>
      <w:r>
        <w:tab/>
      </w:r>
      <w:r>
        <w:tab/>
      </w:r>
      <w:r>
        <w:tab/>
      </w:r>
      <w:r>
        <w:tab/>
      </w:r>
      <w:r>
        <w:tab/>
      </w:r>
      <w:r>
        <w:tab/>
      </w:r>
      <w:r>
        <w:tab/>
        <w:t>3</w:t>
      </w:r>
    </w:p>
    <w:p w:rsidR="00FD13BE" w:rsidRDefault="00311E49" w:rsidP="00311E49">
      <w:pPr>
        <w:spacing w:line="480" w:lineRule="auto"/>
      </w:pPr>
      <w:proofErr w:type="gramStart"/>
      <w:r>
        <w:t>strengths</w:t>
      </w:r>
      <w:proofErr w:type="gramEnd"/>
      <w:r>
        <w:t xml:space="preserve"> and minimizing weaknesses. Cognitive limitations may require </w:t>
      </w:r>
      <w:r w:rsidR="008A700F">
        <w:t>task</w:t>
      </w:r>
      <w:r>
        <w:t xml:space="preserve"> segmentation. Meaning and implications must be explored from the perspective of the patient. </w:t>
      </w:r>
      <w:r w:rsidR="00FD13BE">
        <w:t xml:space="preserve"> (Mauk, 2010</w:t>
      </w:r>
      <w:commentRangeStart w:id="0"/>
      <w:r>
        <w:t>, p. 253</w:t>
      </w:r>
      <w:r w:rsidR="00FD13BE">
        <w:t>)</w:t>
      </w:r>
      <w:commentRangeEnd w:id="0"/>
      <w:r w:rsidR="009B2DDE">
        <w:rPr>
          <w:rStyle w:val="CommentReference"/>
        </w:rPr>
        <w:commentReference w:id="0"/>
      </w:r>
    </w:p>
    <w:p w:rsidR="00461FCB" w:rsidRDefault="00A5268C" w:rsidP="00A5268C">
      <w:pPr>
        <w:pStyle w:val="ListParagraph"/>
        <w:spacing w:line="480" w:lineRule="auto"/>
        <w:jc w:val="center"/>
        <w:rPr>
          <w:b/>
        </w:rPr>
      </w:pPr>
      <w:r>
        <w:rPr>
          <w:b/>
        </w:rPr>
        <w:t>Explanations</w:t>
      </w:r>
      <w:r w:rsidR="0090574E">
        <w:rPr>
          <w:b/>
        </w:rPr>
        <w:t>/ Options</w:t>
      </w:r>
      <w:r>
        <w:rPr>
          <w:b/>
        </w:rPr>
        <w:t xml:space="preserve"> of Communication Challenges with Mrs. Schmidt</w:t>
      </w:r>
    </w:p>
    <w:p w:rsidR="0090574E" w:rsidRDefault="0090574E" w:rsidP="0090574E">
      <w:pPr>
        <w:pStyle w:val="ListParagraph"/>
        <w:spacing w:line="480" w:lineRule="auto"/>
        <w:ind w:left="90"/>
      </w:pPr>
      <w:r>
        <w:tab/>
      </w:r>
      <w:r w:rsidR="00311E49">
        <w:t>Because Mrs. Schmidt has COPD, her ability to speak may be compromised, especially when using a ventilator.</w:t>
      </w:r>
      <w:r>
        <w:t xml:space="preserve"> The sound of the ventilator may also complicate hearing due to background noise. Can Mrs. Schmidt speak and hear clearly?</w:t>
      </w:r>
    </w:p>
    <w:p w:rsidR="0090574E" w:rsidRDefault="0090574E" w:rsidP="0090574E">
      <w:pPr>
        <w:pStyle w:val="ListParagraph"/>
        <w:spacing w:line="480" w:lineRule="auto"/>
        <w:ind w:left="90"/>
      </w:pPr>
      <w:r>
        <w:tab/>
        <w:t xml:space="preserve">Because Mrs. Schmidt claims no one told her anything about this, her cognitive abilities are also in question. During the three months she was on the ventilator, many people must have administered to her meaning explanations came from several people. How did she not understand the basic fundamental aspect of her care? Assessment needs to be done regarding her ability to process information. </w:t>
      </w:r>
    </w:p>
    <w:p w:rsidR="00FD13BE" w:rsidRDefault="0090574E" w:rsidP="00FA52A9">
      <w:pPr>
        <w:pStyle w:val="ListParagraph"/>
        <w:spacing w:line="480" w:lineRule="auto"/>
        <w:ind w:left="90"/>
      </w:pPr>
      <w:r>
        <w:tab/>
      </w:r>
      <w:r w:rsidR="00FA52A9">
        <w:t xml:space="preserve">Perhaps her condition changed due to developing illnesses. </w:t>
      </w:r>
      <w:r>
        <w:t xml:space="preserve">What other possible barriers exist for the client? Has her ventilator isolated her contributing to depression?  </w:t>
      </w:r>
      <w:r w:rsidR="00FA52A9">
        <w:t xml:space="preserve">Has she developed symptoms of dementia or delirium? Has her eyesight deteriorated? </w:t>
      </w:r>
      <w:r w:rsidR="00FD13BE">
        <w:t xml:space="preserve"> (Mauk, 2010)</w:t>
      </w:r>
    </w:p>
    <w:p w:rsidR="00A5268C" w:rsidRDefault="00A5268C" w:rsidP="00A5268C">
      <w:pPr>
        <w:pStyle w:val="ListParagraph"/>
        <w:spacing w:line="480" w:lineRule="auto"/>
        <w:jc w:val="center"/>
        <w:rPr>
          <w:b/>
        </w:rPr>
      </w:pPr>
      <w:r>
        <w:rPr>
          <w:b/>
        </w:rPr>
        <w:t>Changes in Mrs. Schmidt Ability to Wean</w:t>
      </w:r>
    </w:p>
    <w:p w:rsidR="005F3FAB" w:rsidRDefault="00FA52A9" w:rsidP="00FA52A9">
      <w:pPr>
        <w:pStyle w:val="ListParagraph"/>
        <w:spacing w:line="480" w:lineRule="auto"/>
        <w:ind w:left="0"/>
      </w:pPr>
      <w:r>
        <w:tab/>
        <w:t xml:space="preserve">Because of Mrs. Schmidt’s reaction when told she would not have another weaning trial, suspicion exists communication was lacking for some reason. After speaking with the doctor and receiving another chance, she was successfully weaned from the ventilator. Examining specifically the differences in this behavior will provide clues to issues regarding communication. </w:t>
      </w:r>
    </w:p>
    <w:p w:rsidR="008A700F" w:rsidRDefault="008A700F" w:rsidP="00FA52A9">
      <w:pPr>
        <w:pStyle w:val="ListParagraph"/>
        <w:spacing w:line="480" w:lineRule="auto"/>
        <w:ind w:left="0"/>
      </w:pPr>
    </w:p>
    <w:p w:rsidR="008A700F" w:rsidRDefault="008A700F" w:rsidP="00FA52A9">
      <w:pPr>
        <w:pStyle w:val="ListParagraph"/>
        <w:spacing w:line="480" w:lineRule="auto"/>
        <w:ind w:left="0"/>
      </w:pPr>
      <w:r>
        <w:lastRenderedPageBreak/>
        <w:t>CASE STUDY 4-1</w:t>
      </w:r>
      <w:r>
        <w:tab/>
      </w:r>
      <w:r>
        <w:tab/>
      </w:r>
      <w:r>
        <w:tab/>
      </w:r>
      <w:r>
        <w:tab/>
      </w:r>
      <w:r>
        <w:tab/>
      </w:r>
      <w:r>
        <w:tab/>
      </w:r>
      <w:r>
        <w:tab/>
      </w:r>
      <w:r>
        <w:tab/>
      </w:r>
      <w:r>
        <w:tab/>
        <w:t xml:space="preserve">                      4</w:t>
      </w:r>
    </w:p>
    <w:p w:rsidR="00FA52A9" w:rsidRPr="00FA52A9" w:rsidRDefault="005F3FAB" w:rsidP="00FA52A9">
      <w:pPr>
        <w:pStyle w:val="ListParagraph"/>
        <w:spacing w:line="480" w:lineRule="auto"/>
        <w:ind w:left="0"/>
      </w:pPr>
      <w:r>
        <w:tab/>
        <w:t xml:space="preserve">What differences were there between the two trials? If care givers recognized and compensated for barriers to communicate with the client, the second trial may have been successful because person attention was given. Closing the door, turning off the </w:t>
      </w:r>
      <w:r w:rsidR="008A700F">
        <w:t>TV</w:t>
      </w:r>
      <w:r>
        <w:t>, and reducing background noise may have aided the patient’s ability to hear instructions. Approaching on the side where the patient sees better may have helped her to see and interpret body language more successfully. Because caregivers took time to interpret her specific needs, Mrs. Schmidt may have felt more secure in the environment.</w:t>
      </w:r>
    </w:p>
    <w:p w:rsidR="00A5268C" w:rsidRDefault="00A5268C" w:rsidP="00A5268C">
      <w:pPr>
        <w:pStyle w:val="ListParagraph"/>
        <w:spacing w:line="480" w:lineRule="auto"/>
        <w:jc w:val="center"/>
        <w:rPr>
          <w:b/>
        </w:rPr>
      </w:pPr>
      <w:r>
        <w:rPr>
          <w:b/>
        </w:rPr>
        <w:t xml:space="preserve">Explanations of Mrs. Schmidt’s Refusal </w:t>
      </w:r>
    </w:p>
    <w:p w:rsidR="00FA52A9" w:rsidRDefault="00FA52A9" w:rsidP="00FA52A9">
      <w:pPr>
        <w:pStyle w:val="ListParagraph"/>
        <w:spacing w:line="480" w:lineRule="auto"/>
        <w:ind w:left="0"/>
      </w:pPr>
      <w:r>
        <w:tab/>
        <w:t xml:space="preserve">Investigation of Mrs. Schmidt’s refusal to remove the Foley catheter may reveal further complication of her care. How well can she ambulate? If the client has difficulty moving, she may fear the embarrassment of an accident while trying to move to the bathroom. </w:t>
      </w:r>
      <w:r w:rsidR="005F3FAB">
        <w:t xml:space="preserve">The possibility of using bedpan may be considered even more uncomfortable. Did she have problems with incontinence before receiving the catheter? The security of not worrying about incontinence may also mean the Foley is a desirable option. Does she have arthritis or other painful conditions which may make moving to the rest room uncomfortable? </w:t>
      </w:r>
    </w:p>
    <w:p w:rsidR="005F3FAB" w:rsidRPr="00FA52A9" w:rsidRDefault="005F3FAB" w:rsidP="00FA52A9">
      <w:pPr>
        <w:pStyle w:val="ListParagraph"/>
        <w:spacing w:line="480" w:lineRule="auto"/>
        <w:ind w:left="0"/>
      </w:pPr>
      <w:r>
        <w:tab/>
        <w:t xml:space="preserve">The barriers presented with the security of the Foley catheter may be surmountable for the patient if care towards improved communication is used again. What is her understanding of the situation? How can her needs be met </w:t>
      </w:r>
      <w:r w:rsidR="008A700F">
        <w:t>through improved communication? Seeing Mrs. Schmidt as an individual and responding to her specific needs provides the best care.</w:t>
      </w:r>
    </w:p>
    <w:p w:rsidR="00461FCB" w:rsidRDefault="00461FCB" w:rsidP="00EC348F">
      <w:pPr>
        <w:spacing w:line="480" w:lineRule="auto"/>
        <w:jc w:val="both"/>
      </w:pPr>
    </w:p>
    <w:p w:rsidR="00FD13BE" w:rsidRDefault="00FD13BE" w:rsidP="00EC348F">
      <w:pPr>
        <w:spacing w:line="480" w:lineRule="auto"/>
        <w:jc w:val="both"/>
      </w:pPr>
    </w:p>
    <w:p w:rsidR="00AD7ADD" w:rsidRDefault="00AD7ADD" w:rsidP="00AD7ADD">
      <w:pPr>
        <w:spacing w:line="480" w:lineRule="auto"/>
      </w:pPr>
    </w:p>
    <w:p w:rsidR="00C509FD" w:rsidRDefault="00447AD4" w:rsidP="003424C3">
      <w:pPr>
        <w:spacing w:line="480" w:lineRule="auto"/>
      </w:pPr>
      <w:r>
        <w:lastRenderedPageBreak/>
        <w:t>CASE STUDY</w:t>
      </w:r>
      <w:r w:rsidR="00A5268C">
        <w:t>4</w:t>
      </w:r>
      <w:r w:rsidR="007D2358">
        <w:t>-</w:t>
      </w:r>
      <w:r>
        <w:t xml:space="preserve"> 1</w:t>
      </w:r>
      <w:r>
        <w:tab/>
      </w:r>
      <w:r>
        <w:tab/>
      </w:r>
      <w:r>
        <w:tab/>
      </w:r>
      <w:r>
        <w:tab/>
      </w:r>
      <w:r>
        <w:tab/>
      </w:r>
      <w:r>
        <w:tab/>
      </w:r>
      <w:r>
        <w:tab/>
      </w:r>
      <w:r>
        <w:tab/>
      </w:r>
      <w:r>
        <w:tab/>
      </w:r>
      <w:r w:rsidR="009E6618">
        <w:tab/>
        <w:t xml:space="preserve">         </w:t>
      </w:r>
      <w:r w:rsidR="008A700F">
        <w:t>5</w:t>
      </w:r>
      <w:r w:rsidR="00AD7ADD">
        <w:t xml:space="preserve"> </w:t>
      </w:r>
      <w:r w:rsidR="00C509FD">
        <w:t xml:space="preserve">                                          </w:t>
      </w:r>
      <w:r w:rsidR="00956761">
        <w:tab/>
      </w:r>
      <w:r w:rsidR="00956761">
        <w:tab/>
      </w:r>
    </w:p>
    <w:p w:rsidR="004B0A1D" w:rsidRPr="00C12380" w:rsidRDefault="004B0A1D" w:rsidP="004B0A1D">
      <w:pPr>
        <w:spacing w:line="480" w:lineRule="auto"/>
        <w:jc w:val="center"/>
        <w:rPr>
          <w:b/>
        </w:rPr>
      </w:pPr>
      <w:r w:rsidRPr="00C12380">
        <w:rPr>
          <w:b/>
        </w:rPr>
        <w:t>References</w:t>
      </w:r>
    </w:p>
    <w:p w:rsidR="004B0A1D" w:rsidRPr="00C85400" w:rsidRDefault="00C85400" w:rsidP="004B0A1D">
      <w:pPr>
        <w:spacing w:line="480" w:lineRule="auto"/>
        <w:rPr>
          <w:color w:val="000000" w:themeColor="text1"/>
        </w:rPr>
      </w:pPr>
      <w:r w:rsidRPr="00C85400">
        <w:rPr>
          <w:color w:val="000000" w:themeColor="text1"/>
        </w:rPr>
        <w:t xml:space="preserve">Mauk, K.L.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Boston: Jones &amp; </w:t>
      </w:r>
      <w:r w:rsidRPr="00C85400">
        <w:rPr>
          <w:color w:val="000000" w:themeColor="text1"/>
        </w:rPr>
        <w:tab/>
        <w:t>Bartlett.</w:t>
      </w:r>
    </w:p>
    <w:p w:rsidR="008A03A2" w:rsidRDefault="008A03A2" w:rsidP="008A03A2">
      <w:pPr>
        <w:spacing w:line="480" w:lineRule="auto"/>
        <w:jc w:val="center"/>
      </w:pPr>
    </w:p>
    <w:p w:rsidR="00AD7ADD" w:rsidRDefault="00AD7ADD" w:rsidP="00AD7ADD">
      <w:pPr>
        <w:spacing w:line="480" w:lineRule="auto"/>
        <w:jc w:val="center"/>
      </w:pPr>
    </w:p>
    <w:sectPr w:rsidR="00AD7ADD" w:rsidSect="008A03A2">
      <w:headerReference w:type="even"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6:11:00Z" w:initials="M">
    <w:p w:rsidR="009B2DDE" w:rsidRDefault="009B2DDE">
      <w:pPr>
        <w:pStyle w:val="CommentText"/>
      </w:pPr>
      <w:r>
        <w:rPr>
          <w:rStyle w:val="CommentReference"/>
        </w:rPr>
        <w:annotationRef/>
      </w:r>
      <w:r>
        <w:t>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2E7" w:rsidRDefault="008C72E7">
      <w:r>
        <w:separator/>
      </w:r>
    </w:p>
  </w:endnote>
  <w:endnote w:type="continuationSeparator" w:id="0">
    <w:p w:rsidR="008C72E7" w:rsidRDefault="008C72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2E7" w:rsidRDefault="008C72E7">
      <w:r>
        <w:separator/>
      </w:r>
    </w:p>
  </w:footnote>
  <w:footnote w:type="continuationSeparator" w:id="0">
    <w:p w:rsidR="008C72E7" w:rsidRDefault="008C7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EA0810"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10FAE"/>
    <w:rsid w:val="00026B40"/>
    <w:rsid w:val="00034CF1"/>
    <w:rsid w:val="000526BE"/>
    <w:rsid w:val="00057A6F"/>
    <w:rsid w:val="00075E5D"/>
    <w:rsid w:val="0008777A"/>
    <w:rsid w:val="00094612"/>
    <w:rsid w:val="00095A19"/>
    <w:rsid w:val="00097B1A"/>
    <w:rsid w:val="000A005D"/>
    <w:rsid w:val="000B7A50"/>
    <w:rsid w:val="000C56A8"/>
    <w:rsid w:val="000D3637"/>
    <w:rsid w:val="000F4A86"/>
    <w:rsid w:val="00103482"/>
    <w:rsid w:val="00105A12"/>
    <w:rsid w:val="00112135"/>
    <w:rsid w:val="001224FD"/>
    <w:rsid w:val="00126502"/>
    <w:rsid w:val="00127127"/>
    <w:rsid w:val="00132F8E"/>
    <w:rsid w:val="00150222"/>
    <w:rsid w:val="001510B7"/>
    <w:rsid w:val="00171AD1"/>
    <w:rsid w:val="00176A57"/>
    <w:rsid w:val="0018265B"/>
    <w:rsid w:val="001B6D06"/>
    <w:rsid w:val="001D05EA"/>
    <w:rsid w:val="001F19CC"/>
    <w:rsid w:val="00201DD7"/>
    <w:rsid w:val="00212A3B"/>
    <w:rsid w:val="00217A85"/>
    <w:rsid w:val="00223AAF"/>
    <w:rsid w:val="00231D01"/>
    <w:rsid w:val="002434EF"/>
    <w:rsid w:val="00244567"/>
    <w:rsid w:val="002605A8"/>
    <w:rsid w:val="00270B63"/>
    <w:rsid w:val="00271C6A"/>
    <w:rsid w:val="002B5516"/>
    <w:rsid w:val="002C730B"/>
    <w:rsid w:val="002D5B65"/>
    <w:rsid w:val="002D6E54"/>
    <w:rsid w:val="00301720"/>
    <w:rsid w:val="00303001"/>
    <w:rsid w:val="00305767"/>
    <w:rsid w:val="00311E49"/>
    <w:rsid w:val="00315EA8"/>
    <w:rsid w:val="00332719"/>
    <w:rsid w:val="00336D49"/>
    <w:rsid w:val="003424C3"/>
    <w:rsid w:val="00347679"/>
    <w:rsid w:val="003509EF"/>
    <w:rsid w:val="003620B4"/>
    <w:rsid w:val="00370C3A"/>
    <w:rsid w:val="00394A4B"/>
    <w:rsid w:val="003A21DB"/>
    <w:rsid w:val="003A3521"/>
    <w:rsid w:val="003C2D24"/>
    <w:rsid w:val="003C3292"/>
    <w:rsid w:val="003C4803"/>
    <w:rsid w:val="003C600A"/>
    <w:rsid w:val="003C6624"/>
    <w:rsid w:val="003D63D3"/>
    <w:rsid w:val="003F02A7"/>
    <w:rsid w:val="00407E7A"/>
    <w:rsid w:val="00417328"/>
    <w:rsid w:val="00417BC9"/>
    <w:rsid w:val="00422EC1"/>
    <w:rsid w:val="00432E35"/>
    <w:rsid w:val="00447AD4"/>
    <w:rsid w:val="00452E58"/>
    <w:rsid w:val="00461FCB"/>
    <w:rsid w:val="00463234"/>
    <w:rsid w:val="00482913"/>
    <w:rsid w:val="00485493"/>
    <w:rsid w:val="004B0A1D"/>
    <w:rsid w:val="004B2E5D"/>
    <w:rsid w:val="004C3FAB"/>
    <w:rsid w:val="004D5D19"/>
    <w:rsid w:val="004F2BCA"/>
    <w:rsid w:val="0053397F"/>
    <w:rsid w:val="005548BE"/>
    <w:rsid w:val="00560011"/>
    <w:rsid w:val="005639B2"/>
    <w:rsid w:val="00567E81"/>
    <w:rsid w:val="0057403E"/>
    <w:rsid w:val="00581CC0"/>
    <w:rsid w:val="005869BD"/>
    <w:rsid w:val="00587D46"/>
    <w:rsid w:val="005A1BE1"/>
    <w:rsid w:val="005A7AB3"/>
    <w:rsid w:val="005B32DD"/>
    <w:rsid w:val="005C6CE6"/>
    <w:rsid w:val="005D0426"/>
    <w:rsid w:val="005D6007"/>
    <w:rsid w:val="005E62E1"/>
    <w:rsid w:val="005F3FAB"/>
    <w:rsid w:val="00614B50"/>
    <w:rsid w:val="00643171"/>
    <w:rsid w:val="006607C9"/>
    <w:rsid w:val="00670605"/>
    <w:rsid w:val="006723F1"/>
    <w:rsid w:val="00696246"/>
    <w:rsid w:val="006A2A33"/>
    <w:rsid w:val="006B3A56"/>
    <w:rsid w:val="006B64F7"/>
    <w:rsid w:val="006C2C12"/>
    <w:rsid w:val="006C7928"/>
    <w:rsid w:val="006D3202"/>
    <w:rsid w:val="006F066D"/>
    <w:rsid w:val="006F5F16"/>
    <w:rsid w:val="00704DA8"/>
    <w:rsid w:val="00730080"/>
    <w:rsid w:val="007362CE"/>
    <w:rsid w:val="00741899"/>
    <w:rsid w:val="00746A20"/>
    <w:rsid w:val="00757088"/>
    <w:rsid w:val="007625A8"/>
    <w:rsid w:val="00765642"/>
    <w:rsid w:val="0077001D"/>
    <w:rsid w:val="007808C5"/>
    <w:rsid w:val="00783256"/>
    <w:rsid w:val="00791043"/>
    <w:rsid w:val="00795EB4"/>
    <w:rsid w:val="007A17BA"/>
    <w:rsid w:val="007D2358"/>
    <w:rsid w:val="007D3C01"/>
    <w:rsid w:val="007E094D"/>
    <w:rsid w:val="007E45BE"/>
    <w:rsid w:val="007E665F"/>
    <w:rsid w:val="00815412"/>
    <w:rsid w:val="00836B9B"/>
    <w:rsid w:val="00870A06"/>
    <w:rsid w:val="008A03A2"/>
    <w:rsid w:val="008A700F"/>
    <w:rsid w:val="008C06FC"/>
    <w:rsid w:val="008C52E6"/>
    <w:rsid w:val="008C6A39"/>
    <w:rsid w:val="008C72E7"/>
    <w:rsid w:val="008D48A2"/>
    <w:rsid w:val="008F4A8B"/>
    <w:rsid w:val="008F511A"/>
    <w:rsid w:val="0090574E"/>
    <w:rsid w:val="0090665D"/>
    <w:rsid w:val="00940152"/>
    <w:rsid w:val="009448A4"/>
    <w:rsid w:val="009532F0"/>
    <w:rsid w:val="00956761"/>
    <w:rsid w:val="0098139E"/>
    <w:rsid w:val="00992C64"/>
    <w:rsid w:val="009954AC"/>
    <w:rsid w:val="009B2DDE"/>
    <w:rsid w:val="009B3F8D"/>
    <w:rsid w:val="009D3E7F"/>
    <w:rsid w:val="009D44B0"/>
    <w:rsid w:val="009D4C4E"/>
    <w:rsid w:val="009E4C8D"/>
    <w:rsid w:val="009E6618"/>
    <w:rsid w:val="00A40E84"/>
    <w:rsid w:val="00A5268C"/>
    <w:rsid w:val="00A62440"/>
    <w:rsid w:val="00A85BE7"/>
    <w:rsid w:val="00A9275A"/>
    <w:rsid w:val="00A939ED"/>
    <w:rsid w:val="00AB794E"/>
    <w:rsid w:val="00AC0FEC"/>
    <w:rsid w:val="00AC300E"/>
    <w:rsid w:val="00AC41C9"/>
    <w:rsid w:val="00AC4654"/>
    <w:rsid w:val="00AD7ADD"/>
    <w:rsid w:val="00AF70DB"/>
    <w:rsid w:val="00B17E72"/>
    <w:rsid w:val="00B327C6"/>
    <w:rsid w:val="00B36431"/>
    <w:rsid w:val="00B41000"/>
    <w:rsid w:val="00B464A1"/>
    <w:rsid w:val="00B50497"/>
    <w:rsid w:val="00B73AF7"/>
    <w:rsid w:val="00B74A1C"/>
    <w:rsid w:val="00B77E55"/>
    <w:rsid w:val="00B855AD"/>
    <w:rsid w:val="00B87DDA"/>
    <w:rsid w:val="00B91F62"/>
    <w:rsid w:val="00B96FDB"/>
    <w:rsid w:val="00BB7620"/>
    <w:rsid w:val="00BC752D"/>
    <w:rsid w:val="00BD2F05"/>
    <w:rsid w:val="00BD70AC"/>
    <w:rsid w:val="00BE5BF7"/>
    <w:rsid w:val="00BE7458"/>
    <w:rsid w:val="00BE7774"/>
    <w:rsid w:val="00C051D0"/>
    <w:rsid w:val="00C12380"/>
    <w:rsid w:val="00C3075D"/>
    <w:rsid w:val="00C31A25"/>
    <w:rsid w:val="00C37A48"/>
    <w:rsid w:val="00C41838"/>
    <w:rsid w:val="00C44D4F"/>
    <w:rsid w:val="00C509FD"/>
    <w:rsid w:val="00C73786"/>
    <w:rsid w:val="00C73AC6"/>
    <w:rsid w:val="00C85400"/>
    <w:rsid w:val="00C9464B"/>
    <w:rsid w:val="00CD7509"/>
    <w:rsid w:val="00D05DB5"/>
    <w:rsid w:val="00D061E4"/>
    <w:rsid w:val="00D074D7"/>
    <w:rsid w:val="00D1341B"/>
    <w:rsid w:val="00D271F7"/>
    <w:rsid w:val="00D3355F"/>
    <w:rsid w:val="00D33F6A"/>
    <w:rsid w:val="00D4275C"/>
    <w:rsid w:val="00D46899"/>
    <w:rsid w:val="00D46AAE"/>
    <w:rsid w:val="00D533E0"/>
    <w:rsid w:val="00D642F2"/>
    <w:rsid w:val="00D858E4"/>
    <w:rsid w:val="00DA3CE4"/>
    <w:rsid w:val="00DC24E4"/>
    <w:rsid w:val="00DD13C4"/>
    <w:rsid w:val="00DE3EBB"/>
    <w:rsid w:val="00E0496E"/>
    <w:rsid w:val="00E12228"/>
    <w:rsid w:val="00E14915"/>
    <w:rsid w:val="00E24159"/>
    <w:rsid w:val="00E34989"/>
    <w:rsid w:val="00E534C6"/>
    <w:rsid w:val="00E7145A"/>
    <w:rsid w:val="00E76954"/>
    <w:rsid w:val="00E769D3"/>
    <w:rsid w:val="00E83309"/>
    <w:rsid w:val="00E95ED5"/>
    <w:rsid w:val="00EA0810"/>
    <w:rsid w:val="00EC195C"/>
    <w:rsid w:val="00EC348F"/>
    <w:rsid w:val="00ED6A11"/>
    <w:rsid w:val="00F10CB3"/>
    <w:rsid w:val="00F179BF"/>
    <w:rsid w:val="00F21BBC"/>
    <w:rsid w:val="00F25BEE"/>
    <w:rsid w:val="00F31F3F"/>
    <w:rsid w:val="00F33281"/>
    <w:rsid w:val="00F3412E"/>
    <w:rsid w:val="00F36CE1"/>
    <w:rsid w:val="00F37C75"/>
    <w:rsid w:val="00F46139"/>
    <w:rsid w:val="00F46C60"/>
    <w:rsid w:val="00F66589"/>
    <w:rsid w:val="00F7456C"/>
    <w:rsid w:val="00F77EEC"/>
    <w:rsid w:val="00F819D1"/>
    <w:rsid w:val="00F824FF"/>
    <w:rsid w:val="00F8488A"/>
    <w:rsid w:val="00F9415C"/>
    <w:rsid w:val="00FA52A9"/>
    <w:rsid w:val="00FB57F3"/>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8F6F-15B8-492F-8205-34E674A6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770</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2011-06-01T21:11:00Z</dcterms:created>
  <dcterms:modified xsi:type="dcterms:W3CDTF">2011-06-01T21:11:00Z</dcterms:modified>
</cp:coreProperties>
</file>