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A5" w:rsidRDefault="00A139A5" w:rsidP="00A139A5">
      <w:pPr>
        <w:pStyle w:val="APA"/>
      </w:pPr>
    </w:p>
    <w:p w:rsidR="00A139A5" w:rsidRPr="00D5158D" w:rsidRDefault="00D5158D" w:rsidP="00A139A5">
      <w:pPr>
        <w:pStyle w:val="APA"/>
        <w:rPr>
          <w:color w:val="FF0000"/>
        </w:rPr>
      </w:pPr>
      <w:r w:rsidRPr="00D5158D">
        <w:rPr>
          <w:color w:val="FF0000"/>
        </w:rPr>
        <w:t>14.5/15</w:t>
      </w:r>
    </w:p>
    <w:p w:rsidR="00A139A5" w:rsidRDefault="00A139A5" w:rsidP="00A139A5">
      <w:pPr>
        <w:pStyle w:val="APA"/>
      </w:pPr>
    </w:p>
    <w:p w:rsidR="00A139A5" w:rsidRDefault="00A139A5" w:rsidP="00A139A5">
      <w:pPr>
        <w:pStyle w:val="APA"/>
      </w:pPr>
    </w:p>
    <w:p w:rsidR="00A139A5" w:rsidRDefault="00A139A5" w:rsidP="00A139A5">
      <w:pPr>
        <w:pStyle w:val="APA"/>
      </w:pPr>
    </w:p>
    <w:p w:rsidR="00A139A5" w:rsidRDefault="00A139A5" w:rsidP="00A96FC6">
      <w:pPr>
        <w:pStyle w:val="APAHeadingCenter"/>
      </w:pPr>
      <w:bookmarkStart w:id="0" w:name="bmTitlePageTitle"/>
      <w:r>
        <w:t>Week 8 Case Study</w:t>
      </w:r>
      <w:bookmarkEnd w:id="0"/>
    </w:p>
    <w:p w:rsidR="00A139A5" w:rsidRDefault="00A139A5" w:rsidP="00A96FC6">
      <w:pPr>
        <w:pStyle w:val="APAHeadingCenter"/>
      </w:pPr>
      <w:bookmarkStart w:id="1" w:name="bmTitlePageName"/>
      <w:r>
        <w:t xml:space="preserve">Tiffany </w:t>
      </w:r>
      <w:proofErr w:type="spellStart"/>
      <w:r>
        <w:t>Hartke</w:t>
      </w:r>
      <w:bookmarkEnd w:id="1"/>
      <w:proofErr w:type="spellEnd"/>
    </w:p>
    <w:p w:rsidR="00A96FC6" w:rsidRDefault="00A139A5" w:rsidP="00A96FC6">
      <w:pPr>
        <w:pStyle w:val="APAHeadingCenter"/>
      </w:pPr>
      <w:bookmarkStart w:id="2" w:name="bmTitlePageInst"/>
      <w:r>
        <w:t>Lakeview College of Nursing</w:t>
      </w:r>
      <w:bookmarkEnd w:id="2"/>
    </w:p>
    <w:p w:rsidR="00A96FC6" w:rsidRDefault="00A96FC6" w:rsidP="00A96FC6">
      <w:pPr>
        <w:pStyle w:val="APAHeadingCenter"/>
      </w:pPr>
      <w:r>
        <w:t>Gerontology Nursing: N309G</w:t>
      </w:r>
    </w:p>
    <w:p w:rsidR="00A96FC6" w:rsidRPr="00A96FC6" w:rsidRDefault="00A96FC6" w:rsidP="00A96FC6">
      <w:pPr>
        <w:pStyle w:val="APAHeadingCenter"/>
      </w:pPr>
      <w:r>
        <w:t>March 19, 2012</w:t>
      </w:r>
    </w:p>
    <w:p w:rsidR="00A139A5" w:rsidRDefault="00A139A5" w:rsidP="00A139A5">
      <w:pPr>
        <w:pStyle w:val="APAHeadingCenter"/>
      </w:pPr>
      <w:bookmarkStart w:id="3" w:name="bmTitleAdd1"/>
      <w:bookmarkEnd w:id="3"/>
    </w:p>
    <w:p w:rsidR="00A139A5" w:rsidRDefault="00A139A5" w:rsidP="00A139A5">
      <w:pPr>
        <w:pStyle w:val="APAHeadingCenter"/>
      </w:pPr>
      <w:bookmarkStart w:id="4" w:name="bmTitleAdd2"/>
      <w:bookmarkEnd w:id="4"/>
    </w:p>
    <w:p w:rsidR="00A139A5" w:rsidRDefault="00A139A5" w:rsidP="00A139A5">
      <w:pPr>
        <w:pStyle w:val="APAHeadingCenter"/>
      </w:pPr>
      <w:bookmarkStart w:id="5" w:name="bmTitleAdd3"/>
      <w:bookmarkEnd w:id="5"/>
    </w:p>
    <w:p w:rsidR="00A139A5" w:rsidRDefault="00A139A5" w:rsidP="00A139A5">
      <w:pPr>
        <w:pStyle w:val="APA"/>
      </w:pPr>
      <w:bookmarkStart w:id="6" w:name="bmTitleAdd4"/>
      <w:bookmarkEnd w:id="6"/>
    </w:p>
    <w:p w:rsidR="001105D4" w:rsidRDefault="001105D4" w:rsidP="00A139A5">
      <w:pPr>
        <w:pStyle w:val="APA"/>
        <w:sectPr w:rsidR="001105D4" w:rsidSect="00A139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A139A5" w:rsidRDefault="00A139A5" w:rsidP="00A139A5">
      <w:pPr>
        <w:pStyle w:val="APA"/>
        <w:sectPr w:rsidR="00A139A5" w:rsidSect="00A139A5">
          <w:headerReference w:type="first" r:id="rId12"/>
          <w:type w:val="continuous"/>
          <w:pgSz w:w="12240" w:h="15840" w:code="1"/>
          <w:pgMar w:top="1440" w:right="1440" w:bottom="1440" w:left="1440" w:header="720" w:footer="720" w:gutter="0"/>
          <w:cols w:space="720"/>
          <w:titlePg/>
          <w:docGrid w:linePitch="360"/>
        </w:sectPr>
      </w:pPr>
    </w:p>
    <w:p w:rsidR="00167F50" w:rsidRDefault="00A96FC6" w:rsidP="00167F50">
      <w:pPr>
        <w:pStyle w:val="APAHeadingCenter"/>
        <w:jc w:val="left"/>
        <w:rPr>
          <w:b/>
        </w:rPr>
      </w:pPr>
      <w:r>
        <w:rPr>
          <w:b/>
        </w:rPr>
        <w:lastRenderedPageBreak/>
        <w:t>1. What stage of cognitive decline is Claudine experiencing at this point?</w:t>
      </w:r>
    </w:p>
    <w:p w:rsidR="00167F50" w:rsidRDefault="001105D4" w:rsidP="00167F50">
      <w:pPr>
        <w:pStyle w:val="APAHeadingCenter"/>
        <w:jc w:val="left"/>
      </w:pPr>
      <w:r>
        <w:t>According to the Alzheimer</w:t>
      </w:r>
      <w:r w:rsidR="005E3924">
        <w:t>’</w:t>
      </w:r>
      <w:r>
        <w:t xml:space="preserve">s </w:t>
      </w:r>
      <w:commentRangeStart w:id="7"/>
      <w:r>
        <w:t>Association</w:t>
      </w:r>
      <w:commentRangeEnd w:id="7"/>
      <w:r w:rsidR="00D5158D">
        <w:rPr>
          <w:rStyle w:val="CommentReference"/>
        </w:rPr>
        <w:commentReference w:id="7"/>
      </w:r>
      <w:r>
        <w:t xml:space="preserve">, Claudine </w:t>
      </w:r>
      <w:r w:rsidR="002A03E6">
        <w:t>has moderate</w:t>
      </w:r>
      <w:r>
        <w:t xml:space="preserve"> cognitive decline. This accompanies stage 4 and is considered a mild or early stage of Alzheimer’s disease. According to the website, this is the stage where a thorough medical interview should be able to detect clear cut symptoms related to the disease process. Symptoms at this stage include forgetfulness of recent events, impaired ability to perform challen</w:t>
      </w:r>
      <w:r w:rsidR="002A03E6">
        <w:t>ging arithmetic</w:t>
      </w:r>
      <w:r>
        <w:t>, greater difficulty in performing</w:t>
      </w:r>
      <w:r w:rsidR="002A03E6">
        <w:t xml:space="preserve"> complex tasks, such as organizing and preparing a meal for several guests, forgetfulness about one’s own personal history, and becoming moody or withdrawn in socially or mentally challenging situations. Claudine’s decline has been noticed by her husband, as she forgets where she places things frequently, and her daughters and family members can clearly see that she is having troubles preparing the meal that usually comes naturally to her</w:t>
      </w:r>
      <w:bookmarkStart w:id="8" w:name="C409867319212963I0T409867328703704"/>
      <w:r w:rsidR="005E3924">
        <w:t xml:space="preserve"> (Alz</w:t>
      </w:r>
      <w:r w:rsidR="00953720">
        <w:t>heimer’s Association, 2012</w:t>
      </w:r>
      <w:r w:rsidR="005E3924">
        <w:t>)</w:t>
      </w:r>
      <w:bookmarkEnd w:id="8"/>
      <w:r w:rsidR="002A03E6">
        <w:t>.</w:t>
      </w:r>
    </w:p>
    <w:p w:rsidR="00D5158D" w:rsidRPr="00D5158D" w:rsidRDefault="00D5158D" w:rsidP="00D5158D">
      <w:pPr>
        <w:overflowPunct/>
        <w:textAlignment w:val="auto"/>
        <w:rPr>
          <w:rFonts w:ascii="ITCGaramondStd-Bk" w:hAnsi="ITCGaramondStd-Bk" w:cs="ITCGaramondStd-Bk"/>
          <w:b/>
        </w:rPr>
      </w:pPr>
      <w:r w:rsidRPr="00D5158D">
        <w:rPr>
          <w:color w:val="FF0000"/>
        </w:rPr>
        <w:t xml:space="preserve">  </w:t>
      </w:r>
      <w:r w:rsidRPr="00D5158D">
        <w:rPr>
          <w:rFonts w:ascii="ITCGaramondStd-Bk" w:hAnsi="ITCGaramondStd-Bk" w:cs="ITCGaramondStd-Bk"/>
          <w:color w:val="FF0000"/>
        </w:rPr>
        <w:t xml:space="preserve">According to the Alzheimer’s Foundation Web site, Claudine is experiencing </w:t>
      </w:r>
      <w:r w:rsidRPr="00D5158D">
        <w:rPr>
          <w:rFonts w:ascii="ITCGaramondStd-Bk" w:hAnsi="ITCGaramondStd-Bk" w:cs="ITCGaramondStd-Bk"/>
          <w:b/>
          <w:color w:val="FF0000"/>
        </w:rPr>
        <w:t>Stage 3: Mild cognitive decline (early-stage Alzheimer’s</w:t>
      </w:r>
      <w:r w:rsidRPr="00D5158D">
        <w:rPr>
          <w:rFonts w:ascii="ITCGaramondStd-Bk" w:hAnsi="ITCGaramondStd-Bk" w:cs="ITCGaramondStd-Bk"/>
          <w:b/>
        </w:rPr>
        <w:t>).</w:t>
      </w:r>
    </w:p>
    <w:p w:rsidR="00D5158D" w:rsidRPr="00D5158D" w:rsidRDefault="00D5158D" w:rsidP="00D5158D">
      <w:pPr>
        <w:overflowPunct/>
        <w:textAlignment w:val="auto"/>
      </w:pPr>
    </w:p>
    <w:p w:rsidR="00167F50" w:rsidRDefault="00A96FC6" w:rsidP="00167F50">
      <w:pPr>
        <w:pStyle w:val="APAHeadingCenter"/>
        <w:jc w:val="left"/>
        <w:rPr>
          <w:b/>
        </w:rPr>
      </w:pPr>
      <w:r>
        <w:rPr>
          <w:b/>
        </w:rPr>
        <w:t>2. Discuss the definition of dementia. What is the prevalence?</w:t>
      </w:r>
    </w:p>
    <w:p w:rsidR="00167F50" w:rsidRDefault="005E3924" w:rsidP="00167F50">
      <w:pPr>
        <w:pStyle w:val="APAHeadingCenter"/>
        <w:jc w:val="left"/>
      </w:pPr>
      <w:r>
        <w:t>According to Fletcher (</w:t>
      </w:r>
      <w:r w:rsidR="0071600D">
        <w:t xml:space="preserve">2008), “dementia is a clinical syndrome of cognitive deficits that involves both memory impairments and a disturbance is at least one other area of cognition and disturbance in executive functioning” (p. 1). Along with cognitive deficits, dementias are commonly associated with behavioral and functional changes. There are several forms of progressive dementia, including </w:t>
      </w:r>
      <w:r w:rsidR="00953720">
        <w:t>Alzheimer’s</w:t>
      </w:r>
      <w:r w:rsidR="0071600D">
        <w:t xml:space="preserve"> disease, vascular dementia, and dementia with </w:t>
      </w:r>
      <w:proofErr w:type="spellStart"/>
      <w:r w:rsidR="0071600D">
        <w:t>Lewy</w:t>
      </w:r>
      <w:proofErr w:type="spellEnd"/>
      <w:r w:rsidR="0071600D">
        <w:t xml:space="preserve"> bodies. Today, dementia affects nearly 5% of the population over 65 years of age.  The global prevalence of dementia is about 24.3 million and nearly 6,000 new cases are reported every year.</w:t>
      </w:r>
    </w:p>
    <w:p w:rsidR="00167F50" w:rsidRDefault="00167F50" w:rsidP="00167F50">
      <w:pPr>
        <w:pStyle w:val="APAHeadingCenter"/>
        <w:jc w:val="left"/>
      </w:pPr>
    </w:p>
    <w:p w:rsidR="00167F50" w:rsidRDefault="00167F50" w:rsidP="00167F50">
      <w:pPr>
        <w:pStyle w:val="APAHeadingCenter"/>
        <w:spacing w:line="240" w:lineRule="auto"/>
        <w:contextualSpacing/>
        <w:jc w:val="left"/>
        <w:rPr>
          <w:b/>
        </w:rPr>
      </w:pPr>
    </w:p>
    <w:p w:rsidR="00167F50" w:rsidRDefault="00A96FC6" w:rsidP="00167F50">
      <w:pPr>
        <w:pStyle w:val="APAHeadingCenter"/>
        <w:spacing w:line="240" w:lineRule="auto"/>
        <w:contextualSpacing/>
        <w:jc w:val="left"/>
        <w:rPr>
          <w:b/>
        </w:rPr>
      </w:pPr>
      <w:r>
        <w:rPr>
          <w:b/>
        </w:rPr>
        <w:t xml:space="preserve">3. Identify three reputable websites that Claudine’s family can obtain information </w:t>
      </w:r>
      <w:r w:rsidR="001105D4">
        <w:rPr>
          <w:b/>
        </w:rPr>
        <w:tab/>
      </w:r>
      <w:r>
        <w:rPr>
          <w:b/>
        </w:rPr>
        <w:t>about Alzheimer’s disease.</w:t>
      </w:r>
    </w:p>
    <w:p w:rsidR="00167F50" w:rsidRDefault="00167F50" w:rsidP="00167F50">
      <w:pPr>
        <w:pStyle w:val="APAHeadingCenter"/>
        <w:spacing w:line="240" w:lineRule="auto"/>
        <w:contextualSpacing/>
        <w:jc w:val="left"/>
        <w:rPr>
          <w:b/>
        </w:rPr>
      </w:pPr>
    </w:p>
    <w:p w:rsidR="00167F50" w:rsidRDefault="005F4550" w:rsidP="00167F50">
      <w:pPr>
        <w:pStyle w:val="APAHeadingCenter"/>
        <w:spacing w:line="240" w:lineRule="auto"/>
        <w:contextualSpacing/>
        <w:jc w:val="left"/>
      </w:pPr>
      <w:r w:rsidRPr="005F4550">
        <w:t>http://www.alz.org/</w:t>
      </w:r>
      <w:proofErr w:type="gramStart"/>
      <w:r w:rsidRPr="005F4550">
        <w:t>index.asp</w:t>
      </w:r>
      <w:r w:rsidR="00167F50">
        <w:t xml:space="preserve">  (</w:t>
      </w:r>
      <w:proofErr w:type="gramEnd"/>
      <w:r w:rsidR="00167F50">
        <w:t>Alzheimer’s Association)</w:t>
      </w:r>
    </w:p>
    <w:p w:rsidR="00167F50" w:rsidRDefault="005F4550" w:rsidP="00167F50">
      <w:pPr>
        <w:pStyle w:val="APAHeadingCenter"/>
        <w:spacing w:line="240" w:lineRule="auto"/>
        <w:contextualSpacing/>
        <w:jc w:val="left"/>
      </w:pPr>
      <w:r w:rsidRPr="005F4550">
        <w:t>http://www.ncbi.nlm.nih.gov/pubmedhealth/PMH0001767</w:t>
      </w:r>
      <w:proofErr w:type="gramStart"/>
      <w:r w:rsidRPr="005F4550">
        <w:t>/</w:t>
      </w:r>
      <w:r w:rsidR="00167F50">
        <w:t xml:space="preserve">  (</w:t>
      </w:r>
      <w:proofErr w:type="gramEnd"/>
      <w:r w:rsidR="00167F50">
        <w:t>National Library of Medicine)</w:t>
      </w:r>
    </w:p>
    <w:p w:rsidR="00167F50" w:rsidRDefault="005F4550" w:rsidP="00167F50">
      <w:pPr>
        <w:pStyle w:val="APAHeadingCenter"/>
        <w:spacing w:line="240" w:lineRule="auto"/>
        <w:contextualSpacing/>
        <w:jc w:val="left"/>
      </w:pPr>
      <w:r w:rsidRPr="005F4550">
        <w:t>http://www.cdc.gov/aging/aginginfo/</w:t>
      </w:r>
      <w:proofErr w:type="gramStart"/>
      <w:r w:rsidRPr="005F4550">
        <w:t>alzheimers.htm</w:t>
      </w:r>
      <w:r w:rsidR="00167F50">
        <w:t xml:space="preserve">  (</w:t>
      </w:r>
      <w:proofErr w:type="gramEnd"/>
      <w:r w:rsidR="00167F50">
        <w:t>Center for Disease Control)</w:t>
      </w:r>
    </w:p>
    <w:p w:rsidR="00167F50" w:rsidRDefault="00167F50" w:rsidP="00167F50">
      <w:pPr>
        <w:pStyle w:val="APAHeadingCenter"/>
        <w:spacing w:line="240" w:lineRule="auto"/>
        <w:contextualSpacing/>
        <w:jc w:val="left"/>
      </w:pPr>
    </w:p>
    <w:p w:rsidR="00167F50" w:rsidRDefault="00A96FC6" w:rsidP="00167F50">
      <w:pPr>
        <w:pStyle w:val="APAHeadingCenter"/>
        <w:spacing w:line="240" w:lineRule="auto"/>
        <w:contextualSpacing/>
        <w:jc w:val="left"/>
        <w:rPr>
          <w:b/>
        </w:rPr>
      </w:pPr>
      <w:r>
        <w:rPr>
          <w:b/>
        </w:rPr>
        <w:t xml:space="preserve">4. What warning signs (behaviors) for Alzheimer’s disease </w:t>
      </w:r>
      <w:proofErr w:type="gramStart"/>
      <w:r>
        <w:rPr>
          <w:b/>
        </w:rPr>
        <w:t>does</w:t>
      </w:r>
      <w:proofErr w:type="gramEnd"/>
      <w:r>
        <w:rPr>
          <w:b/>
        </w:rPr>
        <w:t xml:space="preserve"> the family find on the website?</w:t>
      </w:r>
    </w:p>
    <w:p w:rsidR="00167F50" w:rsidRDefault="00167F50" w:rsidP="00167F50">
      <w:pPr>
        <w:pStyle w:val="APAHeadingCenter"/>
        <w:spacing w:line="240" w:lineRule="auto"/>
        <w:contextualSpacing/>
        <w:jc w:val="left"/>
        <w:rPr>
          <w:b/>
        </w:rPr>
      </w:pPr>
    </w:p>
    <w:p w:rsidR="00167F50" w:rsidRDefault="00D34EF7" w:rsidP="00167F50">
      <w:pPr>
        <w:pStyle w:val="APAHeadingCenter"/>
        <w:contextualSpacing/>
        <w:jc w:val="left"/>
      </w:pPr>
      <w:r>
        <w:t xml:space="preserve">There are 10 warning signs associated with Alzheimer’s disease that can be used for early detection by families and health care professionals. These include: memory loss that affects daily life, challenges in planning or solving problems, difficulty in completing familiar tasks, confusion with time or place, trouble understanding visual images and spatial relationships, problems with speaking or writing, misplacing things, decreased or poor judgment, withdrawing from social or work activities, and changes in mood or personality </w:t>
      </w:r>
      <w:bookmarkStart w:id="9" w:name="C409867319212963I0T409867526851852"/>
      <w:r>
        <w:t>(Alzheimer’s Association, 2012)</w:t>
      </w:r>
      <w:bookmarkEnd w:id="9"/>
      <w:r>
        <w:t>. For Claudine’s family, at this time the most noticeable changes in her behavior are the inability of remembering where she put things and challenges in doing the things that used to come so naturally to her, such as preparing meals without recipes. It is important that the family continue to assess her behavior and actions in order to monitor any further decline that might accompany Claudine.</w:t>
      </w:r>
    </w:p>
    <w:p w:rsidR="00167F50" w:rsidRDefault="00A96FC6" w:rsidP="00167F50">
      <w:pPr>
        <w:pStyle w:val="APAHeadingCenter"/>
        <w:contextualSpacing/>
        <w:jc w:val="left"/>
        <w:rPr>
          <w:b/>
        </w:rPr>
      </w:pPr>
      <w:r>
        <w:rPr>
          <w:b/>
        </w:rPr>
        <w:t>5. What kind of practitioner should Claudine visit?</w:t>
      </w:r>
    </w:p>
    <w:p w:rsidR="00167F50" w:rsidRDefault="007A4F52" w:rsidP="00167F50">
      <w:pPr>
        <w:pStyle w:val="APAHeadingCenter"/>
        <w:contextualSpacing/>
        <w:jc w:val="left"/>
      </w:pPr>
      <w:r>
        <w:t>Finding the right doctor can be difficult</w:t>
      </w:r>
      <w:r w:rsidR="00AB42F2">
        <w:t xml:space="preserve"> for some people. However, according to the Alzheimer’s Association, experts estimate that a skilled physician can diagnose Alzheimer’s with more than ninety percent accuracy. While most people contact their regular family doctor at the onset of signs a symptoms, the family practice doctor is likely to refer patients to someone with more specific training related to what is being experienced. These health care professionals will include neurologists, psychiatrists, and psychologists. These individuals specialize in diseases of </w:t>
      </w:r>
      <w:r w:rsidR="00AB42F2">
        <w:lastRenderedPageBreak/>
        <w:t>the brain and spinal cord, disorders that affect mood or the way the brain works, and special training in testing memory and other mental functions</w:t>
      </w:r>
      <w:bookmarkStart w:id="10" w:name="C409867319212963I0T409867577199074"/>
      <w:r w:rsidR="00AB42F2">
        <w:t xml:space="preserve"> (Alzheimer’s Association, 2012)</w:t>
      </w:r>
      <w:bookmarkEnd w:id="10"/>
      <w:r w:rsidR="00AB42F2">
        <w:t>.</w:t>
      </w:r>
    </w:p>
    <w:p w:rsidR="00B80B6F" w:rsidRDefault="00A96FC6" w:rsidP="00B80B6F">
      <w:pPr>
        <w:pStyle w:val="APAHeadingCenter"/>
        <w:spacing w:line="240" w:lineRule="auto"/>
        <w:contextualSpacing/>
        <w:jc w:val="left"/>
        <w:rPr>
          <w:b/>
        </w:rPr>
      </w:pPr>
      <w:r>
        <w:rPr>
          <w:b/>
        </w:rPr>
        <w:t>6. What kinds of recommended treatments might Claudine’s family anticipate to slow the progression of Claudine’s disease?</w:t>
      </w:r>
    </w:p>
    <w:p w:rsidR="00B80B6F" w:rsidRDefault="00B80B6F" w:rsidP="00B80B6F">
      <w:pPr>
        <w:pStyle w:val="APAHeadingCenter"/>
        <w:spacing w:line="240" w:lineRule="auto"/>
        <w:contextualSpacing/>
        <w:jc w:val="left"/>
        <w:rPr>
          <w:b/>
        </w:rPr>
      </w:pPr>
    </w:p>
    <w:p w:rsidR="00532416" w:rsidRPr="00B80B6F" w:rsidRDefault="00532416" w:rsidP="00B80B6F">
      <w:pPr>
        <w:pStyle w:val="APAHeadingCenter"/>
        <w:contextualSpacing/>
        <w:jc w:val="left"/>
        <w:rPr>
          <w:b/>
        </w:rPr>
      </w:pPr>
      <w:r>
        <w:t>Medications may help to lessen symptoms for a limited time. Cho</w:t>
      </w:r>
      <w:r w:rsidR="00B80B6F">
        <w:t>l</w:t>
      </w:r>
      <w:r>
        <w:t xml:space="preserve">inesterase inhibitors and </w:t>
      </w:r>
      <w:proofErr w:type="spellStart"/>
      <w:r w:rsidR="00B80B6F">
        <w:t>M</w:t>
      </w:r>
      <w:r>
        <w:t>emantine</w:t>
      </w:r>
      <w:proofErr w:type="spellEnd"/>
      <w:r>
        <w:t xml:space="preserve"> are used to </w:t>
      </w:r>
      <w:proofErr w:type="gramStart"/>
      <w:r>
        <w:t>are</w:t>
      </w:r>
      <w:proofErr w:type="gramEnd"/>
      <w:r>
        <w:t xml:space="preserve"> used to treat cognitive symptoms associated with Alzheimer’s disease. Cholinesterase inhibitors, such as Aricept, are used to treat symptoms related to memory, language, judgment, and thinking. They prevent the breakdown of acetylcholine and can help to delay the worsening of symptoms for about 6 to 12 months. </w:t>
      </w:r>
      <w:proofErr w:type="spellStart"/>
      <w:r>
        <w:t>Memantine</w:t>
      </w:r>
      <w:proofErr w:type="spellEnd"/>
      <w:r>
        <w:t xml:space="preserve"> is used to improve memory, attention, language, and the ability to perform simple tasks. It regulate</w:t>
      </w:r>
      <w:r w:rsidR="00B80B6F">
        <w:t>s</w:t>
      </w:r>
      <w:r>
        <w:t xml:space="preserve"> the activity of glutamate and its benefits are similar to those of the cholinesterase inhibitors. </w:t>
      </w:r>
      <w:r w:rsidR="00B80B6F">
        <w:t xml:space="preserve"> Some physicians prescribe vitamin E to treat cognitive symptoms, but vitamin E is not as common as the other classes of medications used. Vitamin E should only be used under the direct supervision of a physician (Alzheimer’s Association, 2012).</w:t>
      </w:r>
    </w:p>
    <w:p w:rsidR="00167F50" w:rsidRDefault="00167F50" w:rsidP="00167F50">
      <w:pPr>
        <w:pStyle w:val="APAHeadingCenter"/>
        <w:spacing w:line="240" w:lineRule="auto"/>
        <w:contextualSpacing/>
        <w:jc w:val="left"/>
        <w:rPr>
          <w:b/>
        </w:rPr>
      </w:pPr>
    </w:p>
    <w:p w:rsidR="00167F50" w:rsidRDefault="00A96FC6" w:rsidP="00167F50">
      <w:pPr>
        <w:pStyle w:val="APAHeadingCenter"/>
        <w:spacing w:line="240" w:lineRule="auto"/>
        <w:contextualSpacing/>
        <w:jc w:val="left"/>
        <w:rPr>
          <w:b/>
        </w:rPr>
      </w:pPr>
      <w:r>
        <w:rPr>
          <w:b/>
        </w:rPr>
        <w:t>7. What could you tell the family about potential respite services for them?</w:t>
      </w:r>
    </w:p>
    <w:p w:rsidR="00167F50" w:rsidRDefault="00167F50" w:rsidP="00167F50">
      <w:pPr>
        <w:pStyle w:val="APAHeadingCenter"/>
        <w:spacing w:line="240" w:lineRule="auto"/>
        <w:contextualSpacing/>
        <w:jc w:val="left"/>
        <w:rPr>
          <w:b/>
        </w:rPr>
      </w:pPr>
    </w:p>
    <w:p w:rsidR="00167F50" w:rsidRDefault="00A2539D" w:rsidP="00167F50">
      <w:pPr>
        <w:pStyle w:val="APAHeadingCenter"/>
        <w:contextualSpacing/>
        <w:jc w:val="left"/>
      </w:pPr>
      <w:r>
        <w:t xml:space="preserve">Respite services are a great alternative for families and caregivers. Respite services are services that provide temporary relief for caregivers and families from daily care giving responsibilities. The goal of these services is to provide enough relief that care givers are able to continue giving care to their loved ones without becoming burnt out. There are several types of respite services, however the most common is adult day care centers and in home care services. In home care services can offer company or companionship for the person suffering from dementia, it can provide basic bathing, toileting, dressing and exercise through home health aides, and can also assist with preparing meals, dispensing medication, and help with laundry. The local </w:t>
      </w:r>
      <w:r>
        <w:lastRenderedPageBreak/>
        <w:t xml:space="preserve">Alzheimer’s Association can offer great references for these respite care services and by contacting </w:t>
      </w:r>
      <w:proofErr w:type="gramStart"/>
      <w:r>
        <w:t>them</w:t>
      </w:r>
      <w:proofErr w:type="gramEnd"/>
      <w:r>
        <w:t xml:space="preserve"> families can get connected with these services in their community (Alzheimer’s Association, 2012).</w:t>
      </w:r>
    </w:p>
    <w:p w:rsidR="00167F50" w:rsidRDefault="00A96FC6" w:rsidP="00167F50">
      <w:pPr>
        <w:pStyle w:val="APAHeadingCenter"/>
        <w:spacing w:line="240" w:lineRule="auto"/>
        <w:contextualSpacing/>
        <w:jc w:val="left"/>
        <w:rPr>
          <w:b/>
        </w:rPr>
      </w:pPr>
      <w:r>
        <w:rPr>
          <w:b/>
        </w:rPr>
        <w:t xml:space="preserve">8. What are some reasons for which the nurse might recommend an adult day care </w:t>
      </w:r>
      <w:r w:rsidR="001105D4">
        <w:rPr>
          <w:b/>
        </w:rPr>
        <w:tab/>
      </w:r>
      <w:r>
        <w:rPr>
          <w:b/>
        </w:rPr>
        <w:t>center as a potential option for Mr. Everett to pursue?</w:t>
      </w:r>
    </w:p>
    <w:p w:rsidR="00167F50" w:rsidRDefault="00167F50" w:rsidP="00167F50">
      <w:pPr>
        <w:pStyle w:val="APAHeadingCenter"/>
        <w:spacing w:line="240" w:lineRule="auto"/>
        <w:contextualSpacing/>
        <w:jc w:val="left"/>
        <w:rPr>
          <w:b/>
        </w:rPr>
      </w:pPr>
    </w:p>
    <w:p w:rsidR="00167F50" w:rsidRDefault="00C0566B" w:rsidP="00167F50">
      <w:pPr>
        <w:pStyle w:val="APAHeadingCenter"/>
        <w:contextualSpacing/>
        <w:jc w:val="left"/>
      </w:pPr>
      <w:r>
        <w:t xml:space="preserve">Adult day care centers are a place where individuals can be left with others in a safe environment. These centers are lead and managed by health care professionals and offer planned activities, such as music and art programs. Most centers also offer transportation and provide meals and snacks for its patients. These programs are great for those family members who have to continue working because they can drop their loved one off during working hours and not have to worry about them being alone. The centers are supervised at all times and </w:t>
      </w:r>
      <w:r w:rsidR="00C1453D">
        <w:t xml:space="preserve">lead by experienced individuals </w:t>
      </w:r>
      <w:bookmarkStart w:id="11" w:name="C409867319212963I0T409867763078704"/>
      <w:r w:rsidR="00C1453D">
        <w:t>(Alzheimer’s Association, 2012)</w:t>
      </w:r>
      <w:bookmarkEnd w:id="11"/>
      <w:r w:rsidR="00C1453D">
        <w:t>. This would be a great option for Mr. Everett because he could continue working during the day and providing the care to Claudine that she needs after the working day is over. It is a great alternative to having to place Claudine in an extended care facility.</w:t>
      </w:r>
    </w:p>
    <w:p w:rsidR="00C37C50" w:rsidRDefault="00A96FC6" w:rsidP="00C37C50">
      <w:pPr>
        <w:pStyle w:val="APAHeadingCenter"/>
        <w:spacing w:line="240" w:lineRule="auto"/>
        <w:contextualSpacing/>
        <w:jc w:val="left"/>
        <w:rPr>
          <w:b/>
        </w:rPr>
      </w:pPr>
      <w:r>
        <w:rPr>
          <w:b/>
        </w:rPr>
        <w:t>9. What are three questions you would advise the family to consider as they grapple this situation?</w:t>
      </w:r>
    </w:p>
    <w:p w:rsidR="00C37C50" w:rsidRPr="00C37C50" w:rsidRDefault="00C37C50" w:rsidP="00C37C50">
      <w:pPr>
        <w:pStyle w:val="APA"/>
        <w:spacing w:line="240" w:lineRule="auto"/>
        <w:contextualSpacing/>
      </w:pPr>
    </w:p>
    <w:p w:rsidR="00C37C50" w:rsidRDefault="00C37C50" w:rsidP="00C37C50">
      <w:pPr>
        <w:pStyle w:val="APAHeadingCenter"/>
        <w:spacing w:line="240" w:lineRule="auto"/>
        <w:contextualSpacing/>
        <w:jc w:val="left"/>
      </w:pPr>
      <w:r w:rsidRPr="00C37C50">
        <w:t>1)</w:t>
      </w:r>
      <w:r>
        <w:rPr>
          <w:b/>
        </w:rPr>
        <w:t xml:space="preserve"> </w:t>
      </w:r>
      <w:r>
        <w:t>Does the person with Alzheimer’s disease become confused or unpredictable under stress?</w:t>
      </w:r>
    </w:p>
    <w:p w:rsidR="00C37C50" w:rsidRDefault="00C37C50" w:rsidP="00C37C50">
      <w:pPr>
        <w:pStyle w:val="APAHeadingCenter"/>
        <w:spacing w:line="240" w:lineRule="auto"/>
        <w:contextualSpacing/>
        <w:jc w:val="left"/>
      </w:pPr>
      <w:r>
        <w:t>2) Does the person with Alzheimer’s disease know how to get help if they need it?</w:t>
      </w:r>
    </w:p>
    <w:p w:rsidR="004533F1" w:rsidRDefault="00C37C50" w:rsidP="00C37C50">
      <w:pPr>
        <w:pStyle w:val="APAHeadingCenter"/>
        <w:spacing w:line="240" w:lineRule="auto"/>
        <w:contextualSpacing/>
        <w:jc w:val="left"/>
      </w:pPr>
      <w:r>
        <w:t>3) Does the person with Alzheimer’s disease wander and become disoriented?</w:t>
      </w:r>
      <w:bookmarkStart w:id="12" w:name="C409867968055556I0T409867975810185"/>
    </w:p>
    <w:p w:rsidR="004533F1" w:rsidRDefault="004533F1" w:rsidP="00C37C50">
      <w:pPr>
        <w:pStyle w:val="APAHeadingCenter"/>
        <w:spacing w:line="240" w:lineRule="auto"/>
        <w:contextualSpacing/>
        <w:jc w:val="left"/>
      </w:pPr>
    </w:p>
    <w:p w:rsidR="00C37C50" w:rsidRPr="004533F1" w:rsidRDefault="004533F1" w:rsidP="00C37C50">
      <w:pPr>
        <w:pStyle w:val="APAHeadingCenter"/>
        <w:spacing w:line="240" w:lineRule="auto"/>
        <w:contextualSpacing/>
        <w:jc w:val="left"/>
        <w:rPr>
          <w:b/>
        </w:rPr>
      </w:pPr>
      <w:r>
        <w:t>(National Institutes of Health, 2011</w:t>
      </w:r>
      <w:bookmarkEnd w:id="12"/>
      <w:r>
        <w:t>)</w:t>
      </w:r>
    </w:p>
    <w:p w:rsidR="00167F50" w:rsidRDefault="00167F50" w:rsidP="00167F50">
      <w:pPr>
        <w:pStyle w:val="APAHeadingCenter"/>
        <w:spacing w:line="240" w:lineRule="auto"/>
        <w:contextualSpacing/>
        <w:jc w:val="left"/>
        <w:rPr>
          <w:b/>
        </w:rPr>
      </w:pPr>
    </w:p>
    <w:p w:rsidR="00242511" w:rsidRDefault="00A96FC6" w:rsidP="00242511">
      <w:pPr>
        <w:pStyle w:val="APAHeadingCenter"/>
        <w:spacing w:line="240" w:lineRule="auto"/>
        <w:contextualSpacing/>
        <w:jc w:val="left"/>
        <w:rPr>
          <w:b/>
        </w:rPr>
      </w:pPr>
      <w:r>
        <w:rPr>
          <w:b/>
        </w:rPr>
        <w:t>10. What are two actions Claudine’s family could take to promote safety in the home’s entryway?</w:t>
      </w:r>
    </w:p>
    <w:p w:rsidR="00242511" w:rsidRDefault="00242511" w:rsidP="00242511">
      <w:pPr>
        <w:pStyle w:val="APAHeadingCenter"/>
        <w:spacing w:line="240" w:lineRule="auto"/>
        <w:contextualSpacing/>
        <w:jc w:val="left"/>
        <w:rPr>
          <w:b/>
        </w:rPr>
      </w:pPr>
    </w:p>
    <w:p w:rsidR="00167F50" w:rsidRPr="00242511" w:rsidRDefault="00167F50" w:rsidP="00242511">
      <w:pPr>
        <w:pStyle w:val="APAHeadingCenter"/>
        <w:contextualSpacing/>
        <w:jc w:val="left"/>
        <w:rPr>
          <w:b/>
        </w:rPr>
      </w:pPr>
      <w:r>
        <w:t xml:space="preserve">While Claudine’s cognitive functioning is declining, there are several things that families can do to the home to promote safety. First and foremost, removing any obstacles, such as rugs on the floor, will help to minimize the chances of falls that Claudine might experience. Also, making </w:t>
      </w:r>
      <w:r>
        <w:lastRenderedPageBreak/>
        <w:t>sure that doors are securely locked or difficult to get out of will help to prevent Claudine from wondering out of the home. It might also be a good idea to put some sort of an alarm on the door to know if she happens to leave</w:t>
      </w:r>
      <w:r w:rsidR="00242511">
        <w:t xml:space="preserve"> so that she can be supervised and doesn’t get lost. Adequate lighting during the day is important and low lighting at night will also help to minimize the stress that Claudine may experience. Night lights can help Claudine find her way throughout the house. As with elderly patients, patients with dementia are at risk of being harmed because they are cognitively disadvantaged, so safety is the number one concern.</w:t>
      </w:r>
    </w:p>
    <w:p w:rsidR="00167F50" w:rsidRDefault="00167F50" w:rsidP="00167F50">
      <w:pPr>
        <w:pStyle w:val="APAHeadingCenter"/>
        <w:spacing w:line="240" w:lineRule="auto"/>
        <w:contextualSpacing/>
        <w:jc w:val="left"/>
        <w:rPr>
          <w:b/>
        </w:rPr>
      </w:pPr>
    </w:p>
    <w:p w:rsidR="00954211" w:rsidRDefault="00A96FC6" w:rsidP="00954211">
      <w:pPr>
        <w:pStyle w:val="APAHeadingCenter"/>
        <w:spacing w:line="240" w:lineRule="auto"/>
        <w:contextualSpacing/>
        <w:jc w:val="left"/>
        <w:rPr>
          <w:b/>
        </w:rPr>
      </w:pPr>
      <w:r w:rsidRPr="00C1453D">
        <w:rPr>
          <w:b/>
        </w:rPr>
        <w:t>11. What are your thoughts on how to best handle this situation in relation to Claudine knowing the truth?</w:t>
      </w:r>
    </w:p>
    <w:p w:rsidR="00954211" w:rsidRPr="00954211" w:rsidRDefault="00954211" w:rsidP="00954211">
      <w:pPr>
        <w:pStyle w:val="APA"/>
        <w:spacing w:line="240" w:lineRule="auto"/>
        <w:contextualSpacing/>
      </w:pPr>
    </w:p>
    <w:p w:rsidR="004533F1" w:rsidRPr="00954211" w:rsidRDefault="00954211" w:rsidP="00954211">
      <w:pPr>
        <w:pStyle w:val="APAHeadingCenter"/>
        <w:contextualSpacing/>
        <w:jc w:val="left"/>
        <w:rPr>
          <w:b/>
        </w:rPr>
      </w:pPr>
      <w:r>
        <w:t>While I think it is always</w:t>
      </w:r>
      <w:r w:rsidR="00C1453D">
        <w:t xml:space="preserve"> important to tell the truth, there are times when things have to be considered, as with Claudine’s situation. She is already having memory issues and is cognitively declining. This is clearly a very devastating time for the family. I would encourage the family to do whatever they feel is in Claudine’s best interest, but I also don’t think telling her about the divorce would necessarily be a bad thing. While she may not remember a day later, knowing that she wasn’t lied to would be a relief for me. She may be frustrated or saddened about the situation, but I don’t think it would negatively affect her at this point. She is in the early to mid stages of the disease and at this point I think it is still very important to be honest with her not only about her own health and well being, but also what is going on with her family.</w:t>
      </w:r>
    </w:p>
    <w:p w:rsidR="004533F1" w:rsidRDefault="004533F1" w:rsidP="00954211">
      <w:pPr>
        <w:overflowPunct/>
        <w:autoSpaceDE/>
        <w:autoSpaceDN/>
        <w:adjustRightInd/>
        <w:spacing w:line="480" w:lineRule="auto"/>
        <w:textAlignment w:val="auto"/>
        <w:rPr>
          <w:sz w:val="24"/>
        </w:rPr>
      </w:pPr>
      <w:r>
        <w:br w:type="page"/>
      </w:r>
    </w:p>
    <w:p w:rsidR="004533F1" w:rsidRDefault="004533F1" w:rsidP="004533F1">
      <w:pPr>
        <w:pStyle w:val="APAHeadingCenter"/>
      </w:pPr>
      <w:r>
        <w:lastRenderedPageBreak/>
        <w:t>References</w:t>
      </w:r>
    </w:p>
    <w:p w:rsidR="004533F1" w:rsidRDefault="004533F1" w:rsidP="004533F1">
      <w:pPr>
        <w:pStyle w:val="APAReference"/>
      </w:pPr>
      <w:bookmarkStart w:id="13" w:name="R409867319212963I0"/>
      <w:proofErr w:type="gramStart"/>
      <w:r>
        <w:t>Alzheimer’s Association.</w:t>
      </w:r>
      <w:proofErr w:type="gramEnd"/>
      <w:r>
        <w:t xml:space="preserve"> </w:t>
      </w:r>
      <w:proofErr w:type="gramStart"/>
      <w:r>
        <w:t xml:space="preserve">(2012). </w:t>
      </w:r>
      <w:r>
        <w:rPr>
          <w:i/>
        </w:rPr>
        <w:t xml:space="preserve">Seven stages of </w:t>
      </w:r>
      <w:proofErr w:type="spellStart"/>
      <w:r>
        <w:rPr>
          <w:i/>
        </w:rPr>
        <w:t>Alzhemier’s</w:t>
      </w:r>
      <w:proofErr w:type="spellEnd"/>
      <w:r>
        <w:rPr>
          <w:i/>
        </w:rPr>
        <w:t>.</w:t>
      </w:r>
      <w:proofErr w:type="gramEnd"/>
      <w:r>
        <w:rPr>
          <w:i/>
        </w:rPr>
        <w:t xml:space="preserve">  </w:t>
      </w:r>
      <w:r>
        <w:t>Retrieved from http://www.alz.org/alzheimers_disease_stages_of_alzheimers.asp</w:t>
      </w:r>
      <w:bookmarkEnd w:id="13"/>
    </w:p>
    <w:p w:rsidR="00486504" w:rsidRDefault="00486504" w:rsidP="004533F1">
      <w:pPr>
        <w:pStyle w:val="APAReference"/>
      </w:pPr>
      <w:r>
        <w:t xml:space="preserve">Fletcher, K (2008). </w:t>
      </w:r>
      <w:proofErr w:type="gramStart"/>
      <w:r>
        <w:t>Dementia.</w:t>
      </w:r>
      <w:proofErr w:type="gramEnd"/>
      <w:r>
        <w:t xml:space="preserve"> Retrieved from </w:t>
      </w:r>
      <w:r w:rsidRPr="00486504">
        <w:t>http://consultgerirn.org/topics/dementia/want_to_know_more</w:t>
      </w:r>
    </w:p>
    <w:p w:rsidR="004533F1" w:rsidRPr="004533F1" w:rsidRDefault="004533F1" w:rsidP="004533F1">
      <w:pPr>
        <w:pStyle w:val="APAReference"/>
      </w:pPr>
      <w:bookmarkStart w:id="14" w:name="R409867968055556I0"/>
      <w:proofErr w:type="gramStart"/>
      <w:r>
        <w:t>National Institutes of Health.</w:t>
      </w:r>
      <w:proofErr w:type="gramEnd"/>
      <w:r>
        <w:t xml:space="preserve"> </w:t>
      </w:r>
      <w:proofErr w:type="gramStart"/>
      <w:r>
        <w:t xml:space="preserve">(2011). </w:t>
      </w:r>
      <w:r w:rsidR="00DA62C2">
        <w:rPr>
          <w:i/>
        </w:rPr>
        <w:t>Home safety for people with Alzheimer’s disease.</w:t>
      </w:r>
      <w:proofErr w:type="gramEnd"/>
      <w:r w:rsidR="00DA62C2">
        <w:t xml:space="preserve"> Retrieved from </w:t>
      </w:r>
      <w:r>
        <w:t>http://www.nia.nih.gov/alzheimers/publication/home-safety-people-alzheimers-disease/general-safety-concerns</w:t>
      </w:r>
      <w:bookmarkEnd w:id="14"/>
    </w:p>
    <w:p w:rsidR="005E3924" w:rsidRDefault="005E3924" w:rsidP="005E3924">
      <w:pPr>
        <w:pStyle w:val="APAHeadingCenter"/>
      </w:pPr>
    </w:p>
    <w:sectPr w:rsidR="005E3924" w:rsidSect="009115F4">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ary" w:date="2012-04-16T05:28:00Z" w:initials="M">
    <w:p w:rsidR="00D5158D" w:rsidRDefault="00D5158D">
      <w:pPr>
        <w:pStyle w:val="CommentText"/>
      </w:pPr>
      <w:r>
        <w:rPr>
          <w:rStyle w:val="CommentReference"/>
        </w:rPr>
        <w:annotationRef/>
      </w:r>
      <w:proofErr w:type="gramStart"/>
      <w:r>
        <w:t>date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843" w:rsidRDefault="00D40843">
      <w:r>
        <w:separator/>
      </w:r>
    </w:p>
  </w:endnote>
  <w:endnote w:type="continuationSeparator" w:id="0">
    <w:p w:rsidR="00D40843" w:rsidRDefault="00D40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A5" w:rsidRDefault="00A139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A5" w:rsidRDefault="00A139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A5" w:rsidRDefault="00A13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843" w:rsidRDefault="00D40843">
      <w:r>
        <w:separator/>
      </w:r>
    </w:p>
  </w:footnote>
  <w:footnote w:type="continuationSeparator" w:id="0">
    <w:p w:rsidR="00D40843" w:rsidRDefault="00D40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A5" w:rsidRDefault="00A139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A5" w:rsidRPr="00A139A5" w:rsidRDefault="00A139A5" w:rsidP="00A139A5">
    <w:pPr>
      <w:pStyle w:val="APAPageHeading"/>
    </w:pPr>
    <w:r>
      <w:t>WEEK 8 CASE STUDY</w:t>
    </w:r>
    <w:r>
      <w:tab/>
    </w:r>
    <w:fldSimple w:instr=" PAGE  \* MERGEFORMAT ">
      <w:r w:rsidR="00D5158D">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A5" w:rsidRPr="00A139A5" w:rsidRDefault="00A139A5" w:rsidP="00A139A5">
    <w:pPr>
      <w:pStyle w:val="APAPageHeading"/>
    </w:pPr>
    <w:r>
      <w:t>Running head: WEEK 8 CASE STUDY</w:t>
    </w:r>
    <w:r>
      <w:tab/>
    </w:r>
    <w:fldSimple w:instr=" PAGE  \* MERGEFORMAT ">
      <w:r w:rsidR="00D5158D">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A5" w:rsidRPr="00A139A5" w:rsidRDefault="00A139A5" w:rsidP="00A139A5">
    <w:pPr>
      <w:pStyle w:val="APAPageHeading"/>
    </w:pPr>
    <w:r>
      <w:t>WEEK 8 CASE STUDY</w:t>
    </w:r>
    <w:r>
      <w:tab/>
    </w:r>
    <w:fldSimple w:instr=" PAGE  \* MERGEFORMAT ">
      <w:r w:rsidR="00D5158D">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09867319212963I0" w:val="*1,617˜1200Alzheimer’s Association˜2981˜122012˜1141http://www.alz.org/alzheimers_disease_stages_of_alzheimers.asp˜"/>
    <w:docVar w:name="409867968055556I0" w:val="*1,617˜1200National Institutes of Health˜2981˜122011˜1141http://www.nia.nih.gov/alzheimers/publication/home-safety-people-alzheimers-disease/general-safety-concerns˜"/>
    <w:docVar w:name="bmHeaderInfo" w:val="WEEK 8 CASE STUDY"/>
    <w:docVar w:name="cIsAbstract" w:val="False"/>
    <w:docVar w:name="cPaperAPAOrMLA" w:val="1"/>
    <w:docVar w:name="cUniquePaperID" w:val="409867152546296I0"/>
    <w:docVar w:name="LastEditedVersion" w:val="5"/>
  </w:docVars>
  <w:rsids>
    <w:rsidRoot w:val="00A96FC6"/>
    <w:rsid w:val="000022DA"/>
    <w:rsid w:val="00003776"/>
    <w:rsid w:val="00004A0E"/>
    <w:rsid w:val="0000704A"/>
    <w:rsid w:val="0000750F"/>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BB5"/>
    <w:rsid w:val="000531FC"/>
    <w:rsid w:val="00054627"/>
    <w:rsid w:val="000553B6"/>
    <w:rsid w:val="00055EAD"/>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D156B"/>
    <w:rsid w:val="000D2B19"/>
    <w:rsid w:val="000D2C3F"/>
    <w:rsid w:val="000D2FF5"/>
    <w:rsid w:val="000D605A"/>
    <w:rsid w:val="000D6B46"/>
    <w:rsid w:val="000D79A9"/>
    <w:rsid w:val="000D7BE9"/>
    <w:rsid w:val="000D7D73"/>
    <w:rsid w:val="000E332F"/>
    <w:rsid w:val="000E545D"/>
    <w:rsid w:val="000E5B81"/>
    <w:rsid w:val="000E6116"/>
    <w:rsid w:val="000F01E0"/>
    <w:rsid w:val="000F14DE"/>
    <w:rsid w:val="000F20F8"/>
    <w:rsid w:val="000F2E61"/>
    <w:rsid w:val="000F5E97"/>
    <w:rsid w:val="000F7897"/>
    <w:rsid w:val="00103036"/>
    <w:rsid w:val="001041BF"/>
    <w:rsid w:val="00105122"/>
    <w:rsid w:val="0010597B"/>
    <w:rsid w:val="00106873"/>
    <w:rsid w:val="00106E14"/>
    <w:rsid w:val="001070AD"/>
    <w:rsid w:val="0011050C"/>
    <w:rsid w:val="001105D4"/>
    <w:rsid w:val="00111633"/>
    <w:rsid w:val="00115618"/>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50B0"/>
    <w:rsid w:val="0013528E"/>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67F50"/>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202EF"/>
    <w:rsid w:val="0022347E"/>
    <w:rsid w:val="002252B7"/>
    <w:rsid w:val="0022564A"/>
    <w:rsid w:val="0022727A"/>
    <w:rsid w:val="0023071D"/>
    <w:rsid w:val="00231560"/>
    <w:rsid w:val="002329A1"/>
    <w:rsid w:val="00232A05"/>
    <w:rsid w:val="00232A51"/>
    <w:rsid w:val="00232EB1"/>
    <w:rsid w:val="00240C83"/>
    <w:rsid w:val="002423B5"/>
    <w:rsid w:val="00242511"/>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30CD"/>
    <w:rsid w:val="00283345"/>
    <w:rsid w:val="00285FE5"/>
    <w:rsid w:val="00286880"/>
    <w:rsid w:val="00286B5B"/>
    <w:rsid w:val="002871C1"/>
    <w:rsid w:val="002909A0"/>
    <w:rsid w:val="002918EA"/>
    <w:rsid w:val="0029232B"/>
    <w:rsid w:val="00293639"/>
    <w:rsid w:val="00293F0C"/>
    <w:rsid w:val="00296369"/>
    <w:rsid w:val="002A03E6"/>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60F"/>
    <w:rsid w:val="00397A67"/>
    <w:rsid w:val="00397F11"/>
    <w:rsid w:val="003A00CB"/>
    <w:rsid w:val="003A14EB"/>
    <w:rsid w:val="003A1559"/>
    <w:rsid w:val="003A1803"/>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33F1"/>
    <w:rsid w:val="00454672"/>
    <w:rsid w:val="0045719E"/>
    <w:rsid w:val="004614B1"/>
    <w:rsid w:val="0046282B"/>
    <w:rsid w:val="004635B0"/>
    <w:rsid w:val="00467BB2"/>
    <w:rsid w:val="0047130D"/>
    <w:rsid w:val="00471E6D"/>
    <w:rsid w:val="0047205B"/>
    <w:rsid w:val="004728E1"/>
    <w:rsid w:val="00475151"/>
    <w:rsid w:val="00480D65"/>
    <w:rsid w:val="00480F4F"/>
    <w:rsid w:val="00483918"/>
    <w:rsid w:val="00486504"/>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416"/>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C2062"/>
    <w:rsid w:val="005C2B59"/>
    <w:rsid w:val="005C3014"/>
    <w:rsid w:val="005C44FE"/>
    <w:rsid w:val="005D3CE8"/>
    <w:rsid w:val="005D4FA5"/>
    <w:rsid w:val="005D5272"/>
    <w:rsid w:val="005D58E6"/>
    <w:rsid w:val="005D7B52"/>
    <w:rsid w:val="005E1419"/>
    <w:rsid w:val="005E15C5"/>
    <w:rsid w:val="005E3924"/>
    <w:rsid w:val="005E4109"/>
    <w:rsid w:val="005E4303"/>
    <w:rsid w:val="005E47C2"/>
    <w:rsid w:val="005E580F"/>
    <w:rsid w:val="005E661D"/>
    <w:rsid w:val="005E67C5"/>
    <w:rsid w:val="005F03E6"/>
    <w:rsid w:val="005F4550"/>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C81"/>
    <w:rsid w:val="006A5B05"/>
    <w:rsid w:val="006A5DAA"/>
    <w:rsid w:val="006A6456"/>
    <w:rsid w:val="006A64EF"/>
    <w:rsid w:val="006A737F"/>
    <w:rsid w:val="006B01BB"/>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C51"/>
    <w:rsid w:val="006C61AE"/>
    <w:rsid w:val="006C691D"/>
    <w:rsid w:val="006C7077"/>
    <w:rsid w:val="006C7D1B"/>
    <w:rsid w:val="006D09CA"/>
    <w:rsid w:val="006D6792"/>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600D"/>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8009D"/>
    <w:rsid w:val="007804EF"/>
    <w:rsid w:val="007816D4"/>
    <w:rsid w:val="00783E25"/>
    <w:rsid w:val="0078460B"/>
    <w:rsid w:val="00785077"/>
    <w:rsid w:val="0078524B"/>
    <w:rsid w:val="007872AE"/>
    <w:rsid w:val="00790DCE"/>
    <w:rsid w:val="00791AD7"/>
    <w:rsid w:val="00791F6F"/>
    <w:rsid w:val="00791FE0"/>
    <w:rsid w:val="0079266F"/>
    <w:rsid w:val="00792FCB"/>
    <w:rsid w:val="00795A58"/>
    <w:rsid w:val="007A073A"/>
    <w:rsid w:val="007A0936"/>
    <w:rsid w:val="007A1967"/>
    <w:rsid w:val="007A1DD9"/>
    <w:rsid w:val="007A4020"/>
    <w:rsid w:val="007A4F52"/>
    <w:rsid w:val="007A5289"/>
    <w:rsid w:val="007A7762"/>
    <w:rsid w:val="007B171D"/>
    <w:rsid w:val="007B240D"/>
    <w:rsid w:val="007B2560"/>
    <w:rsid w:val="007B3F47"/>
    <w:rsid w:val="007B4147"/>
    <w:rsid w:val="007B4432"/>
    <w:rsid w:val="007B4951"/>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15F4"/>
    <w:rsid w:val="00912958"/>
    <w:rsid w:val="00914B08"/>
    <w:rsid w:val="00914D48"/>
    <w:rsid w:val="00915850"/>
    <w:rsid w:val="0091703D"/>
    <w:rsid w:val="00921574"/>
    <w:rsid w:val="00922E18"/>
    <w:rsid w:val="009230DE"/>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0EA"/>
    <w:rsid w:val="00943CA2"/>
    <w:rsid w:val="00944300"/>
    <w:rsid w:val="0094500E"/>
    <w:rsid w:val="00945322"/>
    <w:rsid w:val="0094658A"/>
    <w:rsid w:val="00950C9D"/>
    <w:rsid w:val="00951CFA"/>
    <w:rsid w:val="00952BB6"/>
    <w:rsid w:val="00953720"/>
    <w:rsid w:val="00953957"/>
    <w:rsid w:val="00954211"/>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39A5"/>
    <w:rsid w:val="00A1444D"/>
    <w:rsid w:val="00A15856"/>
    <w:rsid w:val="00A15E13"/>
    <w:rsid w:val="00A1658B"/>
    <w:rsid w:val="00A178D7"/>
    <w:rsid w:val="00A17E2E"/>
    <w:rsid w:val="00A221DE"/>
    <w:rsid w:val="00A25311"/>
    <w:rsid w:val="00A2539D"/>
    <w:rsid w:val="00A2776D"/>
    <w:rsid w:val="00A34A3E"/>
    <w:rsid w:val="00A361B4"/>
    <w:rsid w:val="00A36852"/>
    <w:rsid w:val="00A408A1"/>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1D6F"/>
    <w:rsid w:val="00A743C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6FC6"/>
    <w:rsid w:val="00A97081"/>
    <w:rsid w:val="00A97899"/>
    <w:rsid w:val="00AA0C93"/>
    <w:rsid w:val="00AA2887"/>
    <w:rsid w:val="00AA4F0B"/>
    <w:rsid w:val="00AA6658"/>
    <w:rsid w:val="00AB18B9"/>
    <w:rsid w:val="00AB31D9"/>
    <w:rsid w:val="00AB347C"/>
    <w:rsid w:val="00AB42F2"/>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DF8"/>
    <w:rsid w:val="00AE599A"/>
    <w:rsid w:val="00AE5E29"/>
    <w:rsid w:val="00AE5F3A"/>
    <w:rsid w:val="00AE6BDD"/>
    <w:rsid w:val="00AE7348"/>
    <w:rsid w:val="00AF2AB9"/>
    <w:rsid w:val="00AF3FA9"/>
    <w:rsid w:val="00AF54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0B6F"/>
    <w:rsid w:val="00B8234A"/>
    <w:rsid w:val="00B826A9"/>
    <w:rsid w:val="00B82830"/>
    <w:rsid w:val="00B82A0A"/>
    <w:rsid w:val="00B82D0E"/>
    <w:rsid w:val="00B8609B"/>
    <w:rsid w:val="00B86F27"/>
    <w:rsid w:val="00B901DE"/>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566B"/>
    <w:rsid w:val="00C0679A"/>
    <w:rsid w:val="00C06A96"/>
    <w:rsid w:val="00C07026"/>
    <w:rsid w:val="00C075C4"/>
    <w:rsid w:val="00C11031"/>
    <w:rsid w:val="00C11AA2"/>
    <w:rsid w:val="00C1369F"/>
    <w:rsid w:val="00C13F21"/>
    <w:rsid w:val="00C13FF5"/>
    <w:rsid w:val="00C1453D"/>
    <w:rsid w:val="00C1475C"/>
    <w:rsid w:val="00C21C52"/>
    <w:rsid w:val="00C21EA4"/>
    <w:rsid w:val="00C238A5"/>
    <w:rsid w:val="00C2469C"/>
    <w:rsid w:val="00C2655C"/>
    <w:rsid w:val="00C30EFA"/>
    <w:rsid w:val="00C32223"/>
    <w:rsid w:val="00C33FBD"/>
    <w:rsid w:val="00C3441E"/>
    <w:rsid w:val="00C34467"/>
    <w:rsid w:val="00C34D81"/>
    <w:rsid w:val="00C34F10"/>
    <w:rsid w:val="00C34FFB"/>
    <w:rsid w:val="00C365F4"/>
    <w:rsid w:val="00C37C5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C62"/>
    <w:rsid w:val="00CA0101"/>
    <w:rsid w:val="00CA0B56"/>
    <w:rsid w:val="00CA1974"/>
    <w:rsid w:val="00CA1CD4"/>
    <w:rsid w:val="00CA1DE9"/>
    <w:rsid w:val="00CA20B1"/>
    <w:rsid w:val="00CA52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EF7"/>
    <w:rsid w:val="00D34FA9"/>
    <w:rsid w:val="00D368B9"/>
    <w:rsid w:val="00D40843"/>
    <w:rsid w:val="00D41191"/>
    <w:rsid w:val="00D43C0D"/>
    <w:rsid w:val="00D44E49"/>
    <w:rsid w:val="00D45F2B"/>
    <w:rsid w:val="00D46F2B"/>
    <w:rsid w:val="00D477D9"/>
    <w:rsid w:val="00D5158D"/>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6978"/>
    <w:rsid w:val="00D76E0F"/>
    <w:rsid w:val="00D81237"/>
    <w:rsid w:val="00D83BDB"/>
    <w:rsid w:val="00D9108C"/>
    <w:rsid w:val="00D9195C"/>
    <w:rsid w:val="00D957BA"/>
    <w:rsid w:val="00D967A3"/>
    <w:rsid w:val="00DA26BF"/>
    <w:rsid w:val="00DA2C59"/>
    <w:rsid w:val="00DA3BC3"/>
    <w:rsid w:val="00DA49E0"/>
    <w:rsid w:val="00DA5739"/>
    <w:rsid w:val="00DA62C2"/>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A5F"/>
    <w:rsid w:val="00F77C6B"/>
    <w:rsid w:val="00F82066"/>
    <w:rsid w:val="00F842DE"/>
    <w:rsid w:val="00F8685C"/>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2F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52F2"/>
    <w:pPr>
      <w:tabs>
        <w:tab w:val="center" w:pos="4320"/>
        <w:tab w:val="right" w:pos="8640"/>
      </w:tabs>
    </w:pPr>
  </w:style>
  <w:style w:type="paragraph" w:customStyle="1" w:styleId="APA">
    <w:name w:val="APA"/>
    <w:basedOn w:val="BodyText"/>
    <w:rsid w:val="00CA52F2"/>
    <w:pPr>
      <w:spacing w:after="0" w:line="480" w:lineRule="auto"/>
      <w:ind w:firstLine="720"/>
    </w:pPr>
    <w:rPr>
      <w:sz w:val="24"/>
    </w:rPr>
  </w:style>
  <w:style w:type="paragraph" w:styleId="BodyText">
    <w:name w:val="Body Text"/>
    <w:basedOn w:val="Normal"/>
    <w:rsid w:val="00CA52F2"/>
    <w:pPr>
      <w:spacing w:after="120"/>
    </w:pPr>
  </w:style>
  <w:style w:type="paragraph" w:styleId="Footer">
    <w:name w:val="footer"/>
    <w:basedOn w:val="Normal"/>
    <w:rsid w:val="00CA52F2"/>
    <w:pPr>
      <w:tabs>
        <w:tab w:val="center" w:pos="4320"/>
        <w:tab w:val="right" w:pos="8640"/>
      </w:tabs>
    </w:pPr>
  </w:style>
  <w:style w:type="character" w:styleId="PageNumber">
    <w:name w:val="page number"/>
    <w:basedOn w:val="DefaultParagraphFont"/>
    <w:rsid w:val="00CA52F2"/>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CA52F2"/>
    <w:pPr>
      <w:ind w:left="720" w:firstLine="0"/>
    </w:pPr>
  </w:style>
  <w:style w:type="paragraph" w:customStyle="1" w:styleId="APABlockQuoteSubsequentPara">
    <w:name w:val="APA Block Quote Subsequent Para"/>
    <w:basedOn w:val="APA"/>
    <w:next w:val="APA"/>
    <w:rsid w:val="00CA52F2"/>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A52F2"/>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CA52F2"/>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D5158D"/>
    <w:rPr>
      <w:sz w:val="16"/>
      <w:szCs w:val="16"/>
    </w:rPr>
  </w:style>
  <w:style w:type="paragraph" w:styleId="CommentText">
    <w:name w:val="annotation text"/>
    <w:basedOn w:val="Normal"/>
    <w:link w:val="CommentTextChar"/>
    <w:rsid w:val="00D5158D"/>
  </w:style>
  <w:style w:type="character" w:customStyle="1" w:styleId="CommentTextChar">
    <w:name w:val="Comment Text Char"/>
    <w:basedOn w:val="DefaultParagraphFont"/>
    <w:link w:val="CommentText"/>
    <w:rsid w:val="00D5158D"/>
  </w:style>
  <w:style w:type="paragraph" w:styleId="CommentSubject">
    <w:name w:val="annotation subject"/>
    <w:basedOn w:val="CommentText"/>
    <w:next w:val="CommentText"/>
    <w:link w:val="CommentSubjectChar"/>
    <w:rsid w:val="00D5158D"/>
    <w:rPr>
      <w:b/>
      <w:bCs/>
    </w:rPr>
  </w:style>
  <w:style w:type="character" w:customStyle="1" w:styleId="CommentSubjectChar">
    <w:name w:val="Comment Subject Char"/>
    <w:basedOn w:val="CommentTextChar"/>
    <w:link w:val="CommentSubject"/>
    <w:rsid w:val="00D5158D"/>
    <w:rPr>
      <w:b/>
      <w:bCs/>
    </w:rPr>
  </w:style>
  <w:style w:type="paragraph" w:styleId="BalloonText">
    <w:name w:val="Balloon Text"/>
    <w:basedOn w:val="Normal"/>
    <w:link w:val="BalloonTextChar"/>
    <w:rsid w:val="00D5158D"/>
    <w:rPr>
      <w:rFonts w:ascii="Tahoma" w:hAnsi="Tahoma" w:cs="Tahoma"/>
      <w:sz w:val="16"/>
      <w:szCs w:val="16"/>
    </w:rPr>
  </w:style>
  <w:style w:type="character" w:customStyle="1" w:styleId="BalloonTextChar">
    <w:name w:val="Balloon Text Char"/>
    <w:basedOn w:val="DefaultParagraphFont"/>
    <w:link w:val="BalloonText"/>
    <w:rsid w:val="00D51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TotalTime>
  <Pages>7</Pages>
  <Words>1536</Words>
  <Characters>8576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Week 8 Case Study</vt:lpstr>
    </vt:vector>
  </TitlesOfParts>
  <Company>Hewlett-Packard</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8 Case Study</dc:title>
  <dc:subject>Copyright</dc:subject>
  <dc:creator>Tiffany Hartke</dc:creator>
  <cp:lastModifiedBy>Mary</cp:lastModifiedBy>
  <cp:revision>2</cp:revision>
  <dcterms:created xsi:type="dcterms:W3CDTF">2012-04-16T10:30:00Z</dcterms:created>
  <dcterms:modified xsi:type="dcterms:W3CDTF">2012-04-16T10:30:00Z</dcterms:modified>
</cp:coreProperties>
</file>