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5BB" w:rsidRDefault="00BA55BB" w:rsidP="00BA55BB">
      <w:pPr>
        <w:pStyle w:val="APA"/>
      </w:pPr>
    </w:p>
    <w:p w:rsidR="00BA55BB" w:rsidRPr="005A5F2D" w:rsidRDefault="005A5F2D" w:rsidP="00BA55BB">
      <w:pPr>
        <w:pStyle w:val="APA"/>
        <w:rPr>
          <w:color w:val="FF0000"/>
        </w:rPr>
      </w:pPr>
      <w:r w:rsidRPr="005A5F2D">
        <w:rPr>
          <w:color w:val="FF0000"/>
        </w:rPr>
        <w:t>14/15</w:t>
      </w:r>
    </w:p>
    <w:p w:rsidR="00BA55BB" w:rsidRDefault="00BA55BB" w:rsidP="00BA55BB">
      <w:pPr>
        <w:pStyle w:val="APA"/>
      </w:pPr>
    </w:p>
    <w:p w:rsidR="00BA55BB" w:rsidRDefault="00BA55BB" w:rsidP="00BA55BB">
      <w:pPr>
        <w:pStyle w:val="APA"/>
      </w:pPr>
    </w:p>
    <w:p w:rsidR="00BA55BB" w:rsidRDefault="00BA55BB" w:rsidP="00BA55BB">
      <w:pPr>
        <w:pStyle w:val="APA"/>
      </w:pPr>
    </w:p>
    <w:p w:rsidR="00BA55BB" w:rsidRDefault="00BA55BB" w:rsidP="00964B33">
      <w:pPr>
        <w:pStyle w:val="APAHeadingCenter"/>
      </w:pPr>
      <w:bookmarkStart w:id="0" w:name="bmTitlePageTitle"/>
      <w:r>
        <w:t>Week 5 Case Study</w:t>
      </w:r>
      <w:bookmarkEnd w:id="0"/>
    </w:p>
    <w:p w:rsidR="00964B33" w:rsidRDefault="00BA55BB" w:rsidP="00964B33">
      <w:pPr>
        <w:pStyle w:val="APAHeadingCenter"/>
      </w:pPr>
      <w:bookmarkStart w:id="1" w:name="bmTitlePageName"/>
      <w:r>
        <w:t xml:space="preserve">Tiffany </w:t>
      </w:r>
      <w:proofErr w:type="spellStart"/>
      <w:r>
        <w:t>Hartke</w:t>
      </w:r>
      <w:bookmarkEnd w:id="1"/>
      <w:proofErr w:type="spellEnd"/>
    </w:p>
    <w:p w:rsidR="00964B33" w:rsidRDefault="00964B33" w:rsidP="00964B33">
      <w:pPr>
        <w:pStyle w:val="APAHeadingCenter"/>
      </w:pPr>
      <w:r>
        <w:t>Gerontology N309B</w:t>
      </w:r>
    </w:p>
    <w:p w:rsidR="00964B33" w:rsidRPr="00964B33" w:rsidRDefault="00964B33" w:rsidP="00964B33">
      <w:pPr>
        <w:pStyle w:val="APAHeadingCenter"/>
      </w:pPr>
      <w:r>
        <w:t>February 19, 2012</w:t>
      </w:r>
    </w:p>
    <w:p w:rsidR="00BA55BB" w:rsidRDefault="00964B33" w:rsidP="00964B33">
      <w:pPr>
        <w:pStyle w:val="APAHeadingCenter"/>
      </w:pPr>
      <w:r>
        <w:t>Chastity Osborn</w:t>
      </w:r>
    </w:p>
    <w:p w:rsidR="00BA55BB" w:rsidRDefault="00BA55BB" w:rsidP="00BA55BB">
      <w:pPr>
        <w:pStyle w:val="APAHeadingCenter"/>
      </w:pPr>
      <w:bookmarkStart w:id="2" w:name="bmTitleAdd1"/>
      <w:bookmarkEnd w:id="2"/>
    </w:p>
    <w:p w:rsidR="00BA55BB" w:rsidRDefault="00BA55BB" w:rsidP="00BA55BB">
      <w:pPr>
        <w:pStyle w:val="APAHeadingCenter"/>
      </w:pPr>
      <w:bookmarkStart w:id="3" w:name="bmTitleAdd2"/>
      <w:bookmarkEnd w:id="3"/>
    </w:p>
    <w:p w:rsidR="00BA55BB" w:rsidRDefault="00BA55BB" w:rsidP="00BA55BB">
      <w:pPr>
        <w:pStyle w:val="APAHeadingCenter"/>
      </w:pPr>
      <w:bookmarkStart w:id="4" w:name="bmTitleAdd3"/>
      <w:bookmarkEnd w:id="4"/>
    </w:p>
    <w:p w:rsidR="00BA55BB" w:rsidRDefault="00BA55BB" w:rsidP="00BA55BB">
      <w:pPr>
        <w:pStyle w:val="APAHeadingCenter"/>
      </w:pPr>
      <w:bookmarkStart w:id="5" w:name="bmTitleAdd4"/>
      <w:bookmarkEnd w:id="5"/>
    </w:p>
    <w:p w:rsidR="00BA55BB" w:rsidRDefault="00BA55BB" w:rsidP="00BA55BB">
      <w:pPr>
        <w:pStyle w:val="APA"/>
        <w:sectPr w:rsidR="00BA55BB" w:rsidSect="00BA55BB">
          <w:headerReference w:type="default" r:id="rId6"/>
          <w:headerReference w:type="first" r:id="rId7"/>
          <w:pgSz w:w="12240" w:h="15840" w:code="1"/>
          <w:pgMar w:top="1440" w:right="1440" w:bottom="1440" w:left="1440" w:header="720" w:footer="720" w:gutter="0"/>
          <w:cols w:space="720"/>
          <w:titlePg/>
          <w:docGrid w:linePitch="360"/>
        </w:sectPr>
      </w:pPr>
    </w:p>
    <w:p w:rsidR="00BA55BB" w:rsidRDefault="00BA55BB" w:rsidP="00BA55BB">
      <w:pPr>
        <w:pStyle w:val="APA"/>
        <w:sectPr w:rsidR="00BA55BB" w:rsidSect="00BA55BB">
          <w:headerReference w:type="first" r:id="rId8"/>
          <w:type w:val="continuous"/>
          <w:pgSz w:w="12240" w:h="15840" w:code="1"/>
          <w:pgMar w:top="1440" w:right="1440" w:bottom="1440" w:left="1440" w:header="720" w:footer="720" w:gutter="0"/>
          <w:cols w:space="720"/>
          <w:titlePg/>
          <w:docGrid w:linePitch="360"/>
        </w:sectPr>
      </w:pPr>
    </w:p>
    <w:p w:rsidR="00BA55BB" w:rsidRDefault="00BA55BB" w:rsidP="00BA55BB">
      <w:pPr>
        <w:pStyle w:val="APAHeadingCenter"/>
      </w:pPr>
      <w:bookmarkStart w:id="6" w:name="bmFirstPageTitle"/>
      <w:r>
        <w:lastRenderedPageBreak/>
        <w:t>Week 5 Case Study</w:t>
      </w:r>
      <w:bookmarkEnd w:id="6"/>
      <w:r w:rsidR="005A5F2D">
        <w:t xml:space="preserve">                                                             </w:t>
      </w:r>
      <w:r w:rsidR="005A5F2D">
        <w:rPr>
          <w:rStyle w:val="CommentReference"/>
          <w:rFonts w:asciiTheme="minorHAnsi" w:eastAsiaTheme="minorHAnsi" w:hAnsiTheme="minorHAnsi" w:cstheme="minorBidi"/>
        </w:rPr>
        <w:commentReference w:id="7"/>
      </w:r>
    </w:p>
    <w:p w:rsidR="00964B33" w:rsidRDefault="00964B33" w:rsidP="00964B33">
      <w:pPr>
        <w:rPr>
          <w:rFonts w:ascii="Times New Roman" w:hAnsi="Times New Roman" w:cs="Times New Roman"/>
        </w:rPr>
      </w:pPr>
      <w:proofErr w:type="gramStart"/>
      <w:r w:rsidRPr="00964B33">
        <w:rPr>
          <w:rFonts w:ascii="Times New Roman" w:hAnsi="Times New Roman" w:cs="Times New Roman"/>
          <w:b/>
        </w:rPr>
        <w:t xml:space="preserve">1. Compare and contrast the definitions for frailty, disability, and </w:t>
      </w:r>
      <w:proofErr w:type="spellStart"/>
      <w:r w:rsidRPr="00964B33">
        <w:rPr>
          <w:rFonts w:ascii="Times New Roman" w:hAnsi="Times New Roman" w:cs="Times New Roman"/>
          <w:b/>
        </w:rPr>
        <w:t>comorbidity</w:t>
      </w:r>
      <w:proofErr w:type="spellEnd"/>
      <w:r w:rsidRPr="00964B33">
        <w:rPr>
          <w:rFonts w:ascii="Times New Roman" w:hAnsi="Times New Roman" w:cs="Times New Roman"/>
          <w:b/>
        </w:rPr>
        <w:t>.</w:t>
      </w:r>
      <w:proofErr w:type="gramEnd"/>
    </w:p>
    <w:p w:rsidR="00964B33" w:rsidRPr="00964B33" w:rsidRDefault="00964B33" w:rsidP="002B6943">
      <w:pPr>
        <w:spacing w:line="480" w:lineRule="auto"/>
        <w:rPr>
          <w:rFonts w:ascii="Times New Roman" w:hAnsi="Times New Roman" w:cs="Times New Roman"/>
        </w:rPr>
      </w:pPr>
      <w:r>
        <w:rPr>
          <w:rFonts w:ascii="Times New Roman" w:hAnsi="Times New Roman" w:cs="Times New Roman"/>
        </w:rPr>
        <w:t xml:space="preserve">According to </w:t>
      </w:r>
      <w:proofErr w:type="spellStart"/>
      <w:r>
        <w:rPr>
          <w:rFonts w:ascii="Times New Roman" w:hAnsi="Times New Roman" w:cs="Times New Roman"/>
        </w:rPr>
        <w:t>Benefield</w:t>
      </w:r>
      <w:proofErr w:type="spellEnd"/>
      <w:r>
        <w:rPr>
          <w:rFonts w:ascii="Times New Roman" w:hAnsi="Times New Roman" w:cs="Times New Roman"/>
        </w:rPr>
        <w:t xml:space="preserve"> </w:t>
      </w:r>
      <w:r w:rsidR="002B6943">
        <w:rPr>
          <w:rFonts w:ascii="Times New Roman" w:hAnsi="Times New Roman" w:cs="Times New Roman"/>
        </w:rPr>
        <w:t xml:space="preserve">&amp; </w:t>
      </w:r>
      <w:proofErr w:type="spellStart"/>
      <w:r w:rsidR="002B6943">
        <w:rPr>
          <w:rFonts w:ascii="Times New Roman" w:hAnsi="Times New Roman" w:cs="Times New Roman"/>
        </w:rPr>
        <w:t>Higbee</w:t>
      </w:r>
      <w:proofErr w:type="spellEnd"/>
      <w:r w:rsidR="002B6943">
        <w:rPr>
          <w:rFonts w:ascii="Times New Roman" w:hAnsi="Times New Roman" w:cs="Times New Roman"/>
        </w:rPr>
        <w:t xml:space="preserve"> (2007</w:t>
      </w:r>
      <w:r>
        <w:rPr>
          <w:rFonts w:ascii="Times New Roman" w:hAnsi="Times New Roman" w:cs="Times New Roman"/>
        </w:rPr>
        <w:t>), frailty is perceived as a general decline in the overall physical ability of older adults that make them vulnerable for illness</w:t>
      </w:r>
      <w:r w:rsidR="002B6943">
        <w:rPr>
          <w:rFonts w:ascii="Times New Roman" w:hAnsi="Times New Roman" w:cs="Times New Roman"/>
        </w:rPr>
        <w:t>, including disability, dependency, falls, need for long term care, and mortality</w:t>
      </w:r>
      <w:r>
        <w:rPr>
          <w:rFonts w:ascii="Times New Roman" w:hAnsi="Times New Roman" w:cs="Times New Roman"/>
        </w:rPr>
        <w:t>. Several signs may indicate frailty including unintentional weight loss, feelings of exhaustion, decrease in grip strength, decreased walking speed, and a low caloric expenditure.</w:t>
      </w:r>
      <w:r w:rsidR="002B6943">
        <w:rPr>
          <w:rFonts w:ascii="Times New Roman" w:hAnsi="Times New Roman" w:cs="Times New Roman"/>
        </w:rPr>
        <w:t xml:space="preserve"> On the other hand, </w:t>
      </w:r>
      <w:proofErr w:type="spellStart"/>
      <w:r w:rsidR="002B6943">
        <w:rPr>
          <w:rFonts w:ascii="Times New Roman" w:hAnsi="Times New Roman" w:cs="Times New Roman"/>
        </w:rPr>
        <w:t>comorbidity</w:t>
      </w:r>
      <w:proofErr w:type="spellEnd"/>
      <w:r w:rsidR="002B6943">
        <w:rPr>
          <w:rFonts w:ascii="Times New Roman" w:hAnsi="Times New Roman" w:cs="Times New Roman"/>
        </w:rPr>
        <w:t xml:space="preserve"> refers to the occurrence of two or more different disease process within a person. Disability is defined as the inability to carry out activities of daily living. Disability usually affects a single system, whereas frailty impacts all systems within an individual. To differentiate, frailty and </w:t>
      </w:r>
      <w:proofErr w:type="spellStart"/>
      <w:r w:rsidR="002B6943">
        <w:rPr>
          <w:rFonts w:ascii="Times New Roman" w:hAnsi="Times New Roman" w:cs="Times New Roman"/>
        </w:rPr>
        <w:t>comorbidity</w:t>
      </w:r>
      <w:proofErr w:type="spellEnd"/>
      <w:r w:rsidR="002B6943">
        <w:rPr>
          <w:rFonts w:ascii="Times New Roman" w:hAnsi="Times New Roman" w:cs="Times New Roman"/>
        </w:rPr>
        <w:t xml:space="preserve"> affect the ability to carry out activities of daily living, but do not result in an inability to accomplish those activities. However, these individuals may need more assistance with these activities than others. </w:t>
      </w:r>
    </w:p>
    <w:p w:rsidR="00964B33" w:rsidRDefault="00964B33" w:rsidP="00964B33">
      <w:pPr>
        <w:rPr>
          <w:rFonts w:ascii="Times New Roman" w:hAnsi="Times New Roman" w:cs="Times New Roman"/>
        </w:rPr>
      </w:pPr>
      <w:r w:rsidRPr="00964B33">
        <w:rPr>
          <w:rFonts w:ascii="Times New Roman" w:hAnsi="Times New Roman" w:cs="Times New Roman"/>
          <w:b/>
        </w:rPr>
        <w:t>2. Explain why frailty is considered a syndrome.</w:t>
      </w:r>
    </w:p>
    <w:p w:rsidR="002B6943" w:rsidRPr="002B6943" w:rsidRDefault="002B6943" w:rsidP="00957315">
      <w:pPr>
        <w:spacing w:line="480" w:lineRule="auto"/>
        <w:rPr>
          <w:rFonts w:ascii="Times New Roman" w:hAnsi="Times New Roman" w:cs="Times New Roman"/>
        </w:rPr>
      </w:pPr>
      <w:r>
        <w:rPr>
          <w:rFonts w:ascii="Times New Roman" w:hAnsi="Times New Roman" w:cs="Times New Roman"/>
        </w:rPr>
        <w:t>Frailty is considered a syndrome because it affects multiple body systems and does not target just one.</w:t>
      </w:r>
      <w:r w:rsidR="00957315">
        <w:rPr>
          <w:rFonts w:ascii="Times New Roman" w:hAnsi="Times New Roman" w:cs="Times New Roman"/>
        </w:rPr>
        <w:t xml:space="preserve"> It is associated with several factors including reduced functional reserve, impairment in multiple systems, and reduced ability to regain physiological homeostasis (</w:t>
      </w:r>
      <w:proofErr w:type="spellStart"/>
      <w:r w:rsidR="00957315">
        <w:rPr>
          <w:rFonts w:ascii="Times New Roman" w:hAnsi="Times New Roman" w:cs="Times New Roman"/>
        </w:rPr>
        <w:t>Benefield</w:t>
      </w:r>
      <w:proofErr w:type="spellEnd"/>
      <w:r w:rsidR="00957315">
        <w:rPr>
          <w:rFonts w:ascii="Times New Roman" w:hAnsi="Times New Roman" w:cs="Times New Roman"/>
        </w:rPr>
        <w:t xml:space="preserve"> &amp; </w:t>
      </w:r>
      <w:proofErr w:type="spellStart"/>
      <w:r w:rsidR="00957315">
        <w:rPr>
          <w:rFonts w:ascii="Times New Roman" w:hAnsi="Times New Roman" w:cs="Times New Roman"/>
        </w:rPr>
        <w:t>Higbee</w:t>
      </w:r>
      <w:proofErr w:type="spellEnd"/>
      <w:r w:rsidR="00957315">
        <w:rPr>
          <w:rFonts w:ascii="Times New Roman" w:hAnsi="Times New Roman" w:cs="Times New Roman"/>
        </w:rPr>
        <w:t>, 2007).</w:t>
      </w:r>
    </w:p>
    <w:p w:rsidR="00964B33" w:rsidRDefault="00964B33" w:rsidP="00964B33">
      <w:pPr>
        <w:rPr>
          <w:rFonts w:ascii="Times New Roman" w:hAnsi="Times New Roman" w:cs="Times New Roman"/>
        </w:rPr>
      </w:pPr>
      <w:r w:rsidRPr="00964B33">
        <w:rPr>
          <w:rFonts w:ascii="Times New Roman" w:hAnsi="Times New Roman" w:cs="Times New Roman"/>
          <w:b/>
        </w:rPr>
        <w:t>3. View the frailty assessment tool and determine Mrs. Gibson’s actual score.</w:t>
      </w:r>
    </w:p>
    <w:p w:rsidR="00957315" w:rsidRPr="00957315" w:rsidRDefault="00957315" w:rsidP="00957315">
      <w:pPr>
        <w:spacing w:line="480" w:lineRule="auto"/>
        <w:rPr>
          <w:rFonts w:ascii="Times New Roman" w:hAnsi="Times New Roman" w:cs="Times New Roman"/>
        </w:rPr>
      </w:pPr>
      <w:r>
        <w:rPr>
          <w:rFonts w:ascii="Times New Roman" w:hAnsi="Times New Roman" w:cs="Times New Roman"/>
        </w:rPr>
        <w:t xml:space="preserve">Based on the frailty assessment tool, Mrs. Gibson’s score would be 3. She has experienced unintentional weight loss of 14 pounds that has resulted in the placement of a </w:t>
      </w:r>
      <w:proofErr w:type="spellStart"/>
      <w:r>
        <w:rPr>
          <w:rFonts w:ascii="Times New Roman" w:hAnsi="Times New Roman" w:cs="Times New Roman"/>
        </w:rPr>
        <w:t>gastrostomy</w:t>
      </w:r>
      <w:proofErr w:type="spellEnd"/>
      <w:r>
        <w:rPr>
          <w:rFonts w:ascii="Times New Roman" w:hAnsi="Times New Roman" w:cs="Times New Roman"/>
        </w:rPr>
        <w:t xml:space="preserve"> tube. She becomes fatigued with any amount of activity and requires a wheelchair to move around. Her gait isn’t strong and steady enough for her to ambulate on her own anymore. Further, she has become withdrawn and is hard to arouse. Her cognitive function can no longer be assessed.</w:t>
      </w:r>
    </w:p>
    <w:p w:rsidR="00DC7736" w:rsidRDefault="00DC7736" w:rsidP="00964B33">
      <w:pPr>
        <w:rPr>
          <w:rFonts w:ascii="Times New Roman" w:hAnsi="Times New Roman" w:cs="Times New Roman"/>
          <w:b/>
        </w:rPr>
      </w:pPr>
    </w:p>
    <w:p w:rsidR="00DC7736" w:rsidRDefault="00DC7736" w:rsidP="00964B33">
      <w:pPr>
        <w:rPr>
          <w:rFonts w:ascii="Times New Roman" w:hAnsi="Times New Roman" w:cs="Times New Roman"/>
          <w:b/>
        </w:rPr>
      </w:pPr>
    </w:p>
    <w:p w:rsidR="00964B33" w:rsidRDefault="00964B33" w:rsidP="00964B33">
      <w:pPr>
        <w:rPr>
          <w:rFonts w:ascii="Times New Roman" w:hAnsi="Times New Roman" w:cs="Times New Roman"/>
          <w:b/>
        </w:rPr>
      </w:pPr>
      <w:r w:rsidRPr="00964B33">
        <w:rPr>
          <w:rFonts w:ascii="Times New Roman" w:hAnsi="Times New Roman" w:cs="Times New Roman"/>
          <w:b/>
        </w:rPr>
        <w:lastRenderedPageBreak/>
        <w:t>4. Differentiate primary versus secondary frailty.</w:t>
      </w:r>
    </w:p>
    <w:p w:rsidR="00957315" w:rsidRPr="00957315" w:rsidRDefault="00957315" w:rsidP="009805F5">
      <w:pPr>
        <w:spacing w:line="480" w:lineRule="auto"/>
        <w:rPr>
          <w:rFonts w:ascii="Times New Roman" w:hAnsi="Times New Roman" w:cs="Times New Roman"/>
        </w:rPr>
      </w:pPr>
      <w:r>
        <w:rPr>
          <w:rFonts w:ascii="Times New Roman" w:hAnsi="Times New Roman" w:cs="Times New Roman"/>
        </w:rPr>
        <w:t>Primary frailty is the result of no underlying cause an</w:t>
      </w:r>
      <w:r w:rsidR="009805F5">
        <w:rPr>
          <w:rFonts w:ascii="Times New Roman" w:hAnsi="Times New Roman" w:cs="Times New Roman"/>
        </w:rPr>
        <w:t>d no pathological processes. On the other hand</w:t>
      </w:r>
      <w:r>
        <w:rPr>
          <w:rFonts w:ascii="Times New Roman" w:hAnsi="Times New Roman" w:cs="Times New Roman"/>
        </w:rPr>
        <w:t>, secondary frailty is the result of an underlying disease process</w:t>
      </w:r>
      <w:r w:rsidR="009805F5">
        <w:rPr>
          <w:rFonts w:ascii="Times New Roman" w:hAnsi="Times New Roman" w:cs="Times New Roman"/>
        </w:rPr>
        <w:t>. With secondary frailty, the underlying disease process is present before frailty is recognized</w:t>
      </w:r>
      <w:r w:rsidR="00A26F4B">
        <w:rPr>
          <w:rFonts w:ascii="Times New Roman" w:hAnsi="Times New Roman" w:cs="Times New Roman"/>
        </w:rPr>
        <w:t xml:space="preserve"> (</w:t>
      </w:r>
      <w:proofErr w:type="spellStart"/>
      <w:r w:rsidR="00A26F4B">
        <w:rPr>
          <w:rFonts w:ascii="Times New Roman" w:hAnsi="Times New Roman" w:cs="Times New Roman"/>
        </w:rPr>
        <w:t>Benefield</w:t>
      </w:r>
      <w:proofErr w:type="spellEnd"/>
      <w:r w:rsidR="00A26F4B">
        <w:rPr>
          <w:rFonts w:ascii="Times New Roman" w:hAnsi="Times New Roman" w:cs="Times New Roman"/>
        </w:rPr>
        <w:t xml:space="preserve"> &amp; </w:t>
      </w:r>
      <w:proofErr w:type="spellStart"/>
      <w:r w:rsidR="00A26F4B">
        <w:rPr>
          <w:rFonts w:ascii="Times New Roman" w:hAnsi="Times New Roman" w:cs="Times New Roman"/>
        </w:rPr>
        <w:t>Higbee</w:t>
      </w:r>
      <w:proofErr w:type="spellEnd"/>
      <w:r w:rsidR="00A26F4B">
        <w:rPr>
          <w:rFonts w:ascii="Times New Roman" w:hAnsi="Times New Roman" w:cs="Times New Roman"/>
        </w:rPr>
        <w:t>, 2007)</w:t>
      </w:r>
      <w:r w:rsidR="009805F5">
        <w:rPr>
          <w:rFonts w:ascii="Times New Roman" w:hAnsi="Times New Roman" w:cs="Times New Roman"/>
        </w:rPr>
        <w:t xml:space="preserve">. </w:t>
      </w:r>
    </w:p>
    <w:p w:rsidR="00964B33" w:rsidRDefault="00964B33" w:rsidP="00964B33">
      <w:pPr>
        <w:rPr>
          <w:rFonts w:ascii="Times New Roman" w:hAnsi="Times New Roman" w:cs="Times New Roman"/>
          <w:b/>
        </w:rPr>
      </w:pPr>
      <w:r w:rsidRPr="00964B33">
        <w:rPr>
          <w:rFonts w:ascii="Times New Roman" w:hAnsi="Times New Roman" w:cs="Times New Roman"/>
          <w:b/>
        </w:rPr>
        <w:t xml:space="preserve">5. What criteria </w:t>
      </w:r>
      <w:proofErr w:type="gramStart"/>
      <w:r w:rsidRPr="00964B33">
        <w:rPr>
          <w:rFonts w:ascii="Times New Roman" w:hAnsi="Times New Roman" w:cs="Times New Roman"/>
          <w:b/>
        </w:rPr>
        <w:t>compromises</w:t>
      </w:r>
      <w:proofErr w:type="gramEnd"/>
      <w:r w:rsidRPr="00964B33">
        <w:rPr>
          <w:rFonts w:ascii="Times New Roman" w:hAnsi="Times New Roman" w:cs="Times New Roman"/>
          <w:b/>
        </w:rPr>
        <w:t xml:space="preserve"> the six physiologic based risk factors for frailty?</w:t>
      </w:r>
    </w:p>
    <w:p w:rsidR="009805F5" w:rsidRPr="009805F5" w:rsidRDefault="009805F5" w:rsidP="005417E4">
      <w:pPr>
        <w:spacing w:line="480" w:lineRule="auto"/>
        <w:rPr>
          <w:rFonts w:ascii="Times New Roman" w:hAnsi="Times New Roman" w:cs="Times New Roman"/>
        </w:rPr>
      </w:pPr>
      <w:r>
        <w:rPr>
          <w:rFonts w:ascii="Times New Roman" w:hAnsi="Times New Roman" w:cs="Times New Roman"/>
        </w:rPr>
        <w:t>Several factors compromise the physiologic risk factors associated with frailty. Activated inflammation, immune system dysfunction, anemia, endocrine system alteration, being underweight or overweight, and age are predisposing factors that place an individual at risk for frailty</w:t>
      </w:r>
      <w:r w:rsidR="005417E4">
        <w:rPr>
          <w:rFonts w:ascii="Times New Roman" w:hAnsi="Times New Roman" w:cs="Times New Roman"/>
        </w:rPr>
        <w:t xml:space="preserve"> (Espinoza &amp; Fried, 2007)</w:t>
      </w:r>
      <w:r>
        <w:rPr>
          <w:rFonts w:ascii="Times New Roman" w:hAnsi="Times New Roman" w:cs="Times New Roman"/>
        </w:rPr>
        <w:t>.</w:t>
      </w:r>
    </w:p>
    <w:p w:rsidR="00964B33" w:rsidRDefault="00964B33" w:rsidP="00964B33">
      <w:pPr>
        <w:rPr>
          <w:rFonts w:ascii="Times New Roman" w:hAnsi="Times New Roman" w:cs="Times New Roman"/>
          <w:b/>
        </w:rPr>
      </w:pPr>
      <w:r w:rsidRPr="00964B33">
        <w:rPr>
          <w:rFonts w:ascii="Times New Roman" w:hAnsi="Times New Roman" w:cs="Times New Roman"/>
          <w:b/>
        </w:rPr>
        <w:t xml:space="preserve">6. Discuss the </w:t>
      </w:r>
      <w:proofErr w:type="spellStart"/>
      <w:r w:rsidRPr="00964B33">
        <w:rPr>
          <w:rFonts w:ascii="Times New Roman" w:hAnsi="Times New Roman" w:cs="Times New Roman"/>
          <w:b/>
        </w:rPr>
        <w:t>sociodemographic</w:t>
      </w:r>
      <w:proofErr w:type="spellEnd"/>
      <w:r w:rsidRPr="00964B33">
        <w:rPr>
          <w:rFonts w:ascii="Times New Roman" w:hAnsi="Times New Roman" w:cs="Times New Roman"/>
          <w:b/>
        </w:rPr>
        <w:t xml:space="preserve"> and psychological risk factors presented in the article.</w:t>
      </w:r>
    </w:p>
    <w:p w:rsidR="009805F5" w:rsidRPr="009805F5" w:rsidRDefault="009805F5" w:rsidP="005417E4">
      <w:pPr>
        <w:spacing w:line="480" w:lineRule="auto"/>
        <w:rPr>
          <w:rFonts w:ascii="Times New Roman" w:hAnsi="Times New Roman" w:cs="Times New Roman"/>
        </w:rPr>
      </w:pPr>
      <w:r>
        <w:rPr>
          <w:rFonts w:ascii="Times New Roman" w:hAnsi="Times New Roman" w:cs="Times New Roman"/>
        </w:rPr>
        <w:t xml:space="preserve">There are several </w:t>
      </w:r>
      <w:proofErr w:type="spellStart"/>
      <w:r>
        <w:rPr>
          <w:rFonts w:ascii="Times New Roman" w:hAnsi="Times New Roman" w:cs="Times New Roman"/>
        </w:rPr>
        <w:t>sociodemographic</w:t>
      </w:r>
      <w:proofErr w:type="spellEnd"/>
      <w:r>
        <w:rPr>
          <w:rFonts w:ascii="Times New Roman" w:hAnsi="Times New Roman" w:cs="Times New Roman"/>
        </w:rPr>
        <w:t xml:space="preserve"> and psychological risk factors that contribute to the incidence of frailty. These include female gender, low socioeconomic status, race and ethnicity, and depression. These factors predispose an individual to frailty as they age, especially low socioeconomic status because these people have limited access to health care and cannot routinely visit the doctor for physical examinations. </w:t>
      </w:r>
      <w:r w:rsidR="005417E4">
        <w:rPr>
          <w:rFonts w:ascii="Times New Roman" w:hAnsi="Times New Roman" w:cs="Times New Roman"/>
        </w:rPr>
        <w:t>Race and ethnicity are non-modifiable risk factors that contribute to the overall health and well being of individuals. Even though these factors cannot be modified, several others can (Espinoza &amp; Fried, 2007).</w:t>
      </w:r>
    </w:p>
    <w:p w:rsidR="00964B33" w:rsidRDefault="00964B33" w:rsidP="00964B33">
      <w:pPr>
        <w:rPr>
          <w:rFonts w:ascii="Times New Roman" w:hAnsi="Times New Roman" w:cs="Times New Roman"/>
        </w:rPr>
      </w:pPr>
      <w:r w:rsidRPr="00964B33">
        <w:rPr>
          <w:rFonts w:ascii="Times New Roman" w:hAnsi="Times New Roman" w:cs="Times New Roman"/>
          <w:b/>
        </w:rPr>
        <w:t>7. Which of the risk factors for frailty would not be modifiable?</w:t>
      </w:r>
    </w:p>
    <w:p w:rsidR="00620F36" w:rsidRPr="00620F36" w:rsidRDefault="00620F36" w:rsidP="00620F36">
      <w:pPr>
        <w:spacing w:line="480" w:lineRule="auto"/>
        <w:rPr>
          <w:rFonts w:ascii="Times New Roman" w:hAnsi="Times New Roman" w:cs="Times New Roman"/>
        </w:rPr>
      </w:pPr>
      <w:r>
        <w:rPr>
          <w:rFonts w:ascii="Times New Roman" w:hAnsi="Times New Roman" w:cs="Times New Roman"/>
        </w:rPr>
        <w:t>Even though several risk factors for frailty are modifiable, there are also factors that are non-modifiable that place individuals at risk. These include age, gender, race, ethnicity, and underlying disease processes. Individuals should take special care in preventing those factors that are modifiable to make up for the risk factors that cannot be directly controlled (Espinoza &amp; Fried, 2007).</w:t>
      </w:r>
    </w:p>
    <w:p w:rsidR="00964B33" w:rsidRDefault="00964B33" w:rsidP="00964B33">
      <w:pPr>
        <w:rPr>
          <w:rFonts w:ascii="Times New Roman" w:hAnsi="Times New Roman" w:cs="Times New Roman"/>
          <w:b/>
        </w:rPr>
      </w:pPr>
      <w:r w:rsidRPr="00964B33">
        <w:rPr>
          <w:rFonts w:ascii="Times New Roman" w:hAnsi="Times New Roman" w:cs="Times New Roman"/>
          <w:b/>
        </w:rPr>
        <w:t>8. Nutritional supplements as an alternative medicine intervention for frailty includes</w:t>
      </w:r>
      <w:r w:rsidR="009D1486">
        <w:rPr>
          <w:rFonts w:ascii="Times New Roman" w:hAnsi="Times New Roman" w:cs="Times New Roman"/>
          <w:b/>
        </w:rPr>
        <w:t>:</w:t>
      </w:r>
    </w:p>
    <w:p w:rsidR="009D1486" w:rsidRPr="009D1486" w:rsidRDefault="009D1486" w:rsidP="009D1486">
      <w:pPr>
        <w:spacing w:line="240" w:lineRule="auto"/>
        <w:rPr>
          <w:rFonts w:ascii="Times New Roman" w:hAnsi="Times New Roman" w:cs="Times New Roman"/>
        </w:rPr>
      </w:pPr>
      <w:proofErr w:type="gramStart"/>
      <w:r w:rsidRPr="009D1486">
        <w:rPr>
          <w:rFonts w:ascii="Times New Roman" w:hAnsi="Times New Roman" w:cs="Times New Roman"/>
        </w:rPr>
        <w:t>a</w:t>
      </w:r>
      <w:proofErr w:type="gramEnd"/>
      <w:r w:rsidRPr="009D1486">
        <w:rPr>
          <w:rFonts w:ascii="Times New Roman" w:hAnsi="Times New Roman" w:cs="Times New Roman"/>
        </w:rPr>
        <w:t xml:space="preserve">. </w:t>
      </w:r>
      <w:proofErr w:type="spellStart"/>
      <w:r w:rsidRPr="009D1486">
        <w:rPr>
          <w:rFonts w:ascii="Times New Roman" w:hAnsi="Times New Roman" w:cs="Times New Roman"/>
        </w:rPr>
        <w:t>carontenoids</w:t>
      </w:r>
      <w:proofErr w:type="spellEnd"/>
    </w:p>
    <w:p w:rsidR="009D1486" w:rsidRPr="009D1486" w:rsidRDefault="009D1486" w:rsidP="009D1486">
      <w:pPr>
        <w:spacing w:line="240" w:lineRule="auto"/>
        <w:rPr>
          <w:rFonts w:ascii="Times New Roman" w:hAnsi="Times New Roman" w:cs="Times New Roman"/>
        </w:rPr>
      </w:pPr>
      <w:proofErr w:type="gramStart"/>
      <w:r w:rsidRPr="009D1486">
        <w:rPr>
          <w:rFonts w:ascii="Times New Roman" w:hAnsi="Times New Roman" w:cs="Times New Roman"/>
        </w:rPr>
        <w:t>b</w:t>
      </w:r>
      <w:proofErr w:type="gramEnd"/>
      <w:r w:rsidRPr="009D1486">
        <w:rPr>
          <w:rFonts w:ascii="Times New Roman" w:hAnsi="Times New Roman" w:cs="Times New Roman"/>
        </w:rPr>
        <w:t>. vitamin D</w:t>
      </w:r>
    </w:p>
    <w:p w:rsidR="009D1486" w:rsidRPr="009D1486" w:rsidRDefault="009D1486" w:rsidP="009D1486">
      <w:pPr>
        <w:spacing w:line="240" w:lineRule="auto"/>
        <w:rPr>
          <w:rFonts w:ascii="Times New Roman" w:hAnsi="Times New Roman" w:cs="Times New Roman"/>
        </w:rPr>
      </w:pPr>
      <w:proofErr w:type="gramStart"/>
      <w:r w:rsidRPr="009D1486">
        <w:rPr>
          <w:rFonts w:ascii="Times New Roman" w:hAnsi="Times New Roman" w:cs="Times New Roman"/>
        </w:rPr>
        <w:t>d</w:t>
      </w:r>
      <w:proofErr w:type="gramEnd"/>
      <w:r w:rsidRPr="009D1486">
        <w:rPr>
          <w:rFonts w:ascii="Times New Roman" w:hAnsi="Times New Roman" w:cs="Times New Roman"/>
        </w:rPr>
        <w:t xml:space="preserve">. </w:t>
      </w:r>
      <w:proofErr w:type="spellStart"/>
      <w:r w:rsidRPr="009D1486">
        <w:rPr>
          <w:rFonts w:ascii="Times New Roman" w:hAnsi="Times New Roman" w:cs="Times New Roman"/>
        </w:rPr>
        <w:t>creatine</w:t>
      </w:r>
      <w:proofErr w:type="spellEnd"/>
    </w:p>
    <w:p w:rsidR="009D1486" w:rsidRDefault="009D1486" w:rsidP="009D1486">
      <w:pPr>
        <w:spacing w:line="240" w:lineRule="auto"/>
        <w:rPr>
          <w:rFonts w:ascii="Times New Roman" w:hAnsi="Times New Roman" w:cs="Times New Roman"/>
        </w:rPr>
      </w:pPr>
      <w:r w:rsidRPr="009D1486">
        <w:rPr>
          <w:rFonts w:ascii="Times New Roman" w:hAnsi="Times New Roman" w:cs="Times New Roman"/>
        </w:rPr>
        <w:lastRenderedPageBreak/>
        <w:t>e. DHEA</w:t>
      </w:r>
    </w:p>
    <w:p w:rsidR="009D1486" w:rsidRPr="009D1486" w:rsidRDefault="009D1486" w:rsidP="009D1486">
      <w:pPr>
        <w:spacing w:line="240" w:lineRule="auto"/>
        <w:rPr>
          <w:rFonts w:ascii="Times New Roman" w:hAnsi="Times New Roman" w:cs="Times New Roman"/>
        </w:rPr>
      </w:pPr>
    </w:p>
    <w:p w:rsidR="00964B33" w:rsidRDefault="00964B33" w:rsidP="00964B33">
      <w:pPr>
        <w:rPr>
          <w:rFonts w:ascii="Times New Roman" w:hAnsi="Times New Roman" w:cs="Times New Roman"/>
        </w:rPr>
      </w:pPr>
      <w:r w:rsidRPr="00964B33">
        <w:rPr>
          <w:rFonts w:ascii="Times New Roman" w:hAnsi="Times New Roman" w:cs="Times New Roman"/>
          <w:b/>
        </w:rPr>
        <w:t>9. Discuss how tai chi may be an appropriate intervention.</w:t>
      </w:r>
    </w:p>
    <w:p w:rsidR="005A5F2D" w:rsidRDefault="009D1486" w:rsidP="00DC7736">
      <w:pPr>
        <w:pStyle w:val="APA"/>
      </w:pPr>
      <w:r>
        <w:t>Tai chi is thought to address three components of frailty, weakness, slow walking speed, and low physical activity. Tai chi is an exercise practiced by the Chinese and is thought to develop strength and muscle tone. It also helps to prevent falls among the older population (</w:t>
      </w:r>
      <w:proofErr w:type="spellStart"/>
      <w:r>
        <w:t>Cherniak</w:t>
      </w:r>
      <w:proofErr w:type="spellEnd"/>
      <w:r>
        <w:t xml:space="preserve">, </w:t>
      </w:r>
      <w:proofErr w:type="spellStart"/>
      <w:r>
        <w:t>Florez</w:t>
      </w:r>
      <w:proofErr w:type="spellEnd"/>
      <w:r>
        <w:t xml:space="preserve">, &amp; </w:t>
      </w:r>
      <w:proofErr w:type="spellStart"/>
      <w:r>
        <w:t>Troen</w:t>
      </w:r>
      <w:proofErr w:type="spellEnd"/>
      <w:r>
        <w:t>, 2007)</w:t>
      </w:r>
    </w:p>
    <w:p w:rsidR="005A5F2D" w:rsidRDefault="005A5F2D" w:rsidP="005A5F2D">
      <w:pPr>
        <w:pStyle w:val="APA"/>
        <w:ind w:firstLine="0"/>
        <w:rPr>
          <w:color w:val="FF0000"/>
        </w:rPr>
      </w:pPr>
    </w:p>
    <w:p w:rsidR="00DC7736" w:rsidRPr="005A5F2D" w:rsidRDefault="005A5F2D" w:rsidP="005A5F2D">
      <w:pPr>
        <w:pStyle w:val="APA"/>
        <w:ind w:firstLine="0"/>
        <w:rPr>
          <w:color w:val="FF0000"/>
        </w:rPr>
      </w:pPr>
      <w:proofErr w:type="gramStart"/>
      <w:r>
        <w:rPr>
          <w:color w:val="FF0000"/>
        </w:rPr>
        <w:t>what</w:t>
      </w:r>
      <w:proofErr w:type="gramEnd"/>
      <w:r>
        <w:rPr>
          <w:color w:val="FF0000"/>
        </w:rPr>
        <w:t xml:space="preserve"> about </w:t>
      </w:r>
      <w:proofErr w:type="spellStart"/>
      <w:r>
        <w:rPr>
          <w:color w:val="FF0000"/>
        </w:rPr>
        <w:t>ques</w:t>
      </w:r>
      <w:proofErr w:type="spellEnd"/>
      <w:r>
        <w:rPr>
          <w:color w:val="FF0000"/>
        </w:rPr>
        <w:t xml:space="preserve"> 10??</w:t>
      </w:r>
    </w:p>
    <w:p w:rsidR="005A5F2D" w:rsidRDefault="005A5F2D" w:rsidP="00DC7736">
      <w:pPr>
        <w:pStyle w:val="APA"/>
      </w:pPr>
    </w:p>
    <w:p w:rsidR="00DC7736" w:rsidRDefault="00DC7736">
      <w:pPr>
        <w:spacing w:after="0" w:line="240" w:lineRule="auto"/>
        <w:rPr>
          <w:rFonts w:ascii="Times New Roman" w:eastAsia="Times New Roman" w:hAnsi="Times New Roman" w:cs="Times New Roman"/>
          <w:sz w:val="24"/>
          <w:szCs w:val="20"/>
        </w:rPr>
      </w:pPr>
      <w:r>
        <w:br w:type="page"/>
      </w:r>
    </w:p>
    <w:p w:rsidR="00DC7736" w:rsidRDefault="00DC7736" w:rsidP="00DC7736">
      <w:pPr>
        <w:pStyle w:val="APAHeadingCenter"/>
      </w:pPr>
      <w:r>
        <w:lastRenderedPageBreak/>
        <w:t>References</w:t>
      </w:r>
    </w:p>
    <w:p w:rsidR="00DC7736" w:rsidRDefault="00DC7736" w:rsidP="00DC7736">
      <w:pPr>
        <w:pStyle w:val="APAReference"/>
      </w:pPr>
      <w:bookmarkStart w:id="8" w:name="R409587722916667I0"/>
      <w:proofErr w:type="spellStart"/>
      <w:proofErr w:type="gramStart"/>
      <w:r>
        <w:t>Benefield</w:t>
      </w:r>
      <w:proofErr w:type="spellEnd"/>
      <w:r>
        <w:t xml:space="preserve">, L. E. &amp; </w:t>
      </w:r>
      <w:proofErr w:type="spellStart"/>
      <w:r>
        <w:t>Higbee</w:t>
      </w:r>
      <w:proofErr w:type="spellEnd"/>
      <w:r>
        <w:t>, R. L. (2007).</w:t>
      </w:r>
      <w:proofErr w:type="gramEnd"/>
      <w:r>
        <w:t xml:space="preserve"> </w:t>
      </w:r>
      <w:proofErr w:type="gramStart"/>
      <w:r>
        <w:t>Frailty and its implications for care.</w:t>
      </w:r>
      <w:proofErr w:type="gramEnd"/>
      <w:r>
        <w:t xml:space="preserve"> Retrieved from http://consultgerirn.org/topics/frailty_and_its_implications_for_care_new/want_to_know_more#item_5</w:t>
      </w:r>
      <w:bookmarkEnd w:id="8"/>
    </w:p>
    <w:p w:rsidR="00DC7736" w:rsidRDefault="00DC7736" w:rsidP="00DC7736">
      <w:pPr>
        <w:pStyle w:val="APAReference"/>
      </w:pPr>
      <w:bookmarkStart w:id="9" w:name="R409587762731481I0"/>
      <w:proofErr w:type="spellStart"/>
      <w:proofErr w:type="gramStart"/>
      <w:r>
        <w:t>Epsinoza</w:t>
      </w:r>
      <w:proofErr w:type="spellEnd"/>
      <w:r>
        <w:t>, S. E. &amp; Fried, L. P. (2007).</w:t>
      </w:r>
      <w:proofErr w:type="gramEnd"/>
      <w:r>
        <w:t xml:space="preserve"> </w:t>
      </w:r>
      <w:proofErr w:type="gramStart"/>
      <w:r>
        <w:t xml:space="preserve">Risk factors for frailty in the older adult </w:t>
      </w:r>
      <w:commentRangeStart w:id="10"/>
      <w:r>
        <w:t>[Journal</w:t>
      </w:r>
      <w:commentRangeEnd w:id="10"/>
      <w:r w:rsidR="005A5F2D">
        <w:rPr>
          <w:rStyle w:val="CommentReference"/>
          <w:rFonts w:asciiTheme="minorHAnsi" w:eastAsiaTheme="minorHAnsi" w:hAnsiTheme="minorHAnsi" w:cstheme="minorBidi"/>
        </w:rPr>
        <w:commentReference w:id="10"/>
      </w:r>
      <w:r>
        <w:t>].</w:t>
      </w:r>
      <w:proofErr w:type="gramEnd"/>
      <w:r>
        <w:t xml:space="preserve"> </w:t>
      </w:r>
      <w:r>
        <w:rPr>
          <w:i/>
        </w:rPr>
        <w:t>Clinical Geriatrics</w:t>
      </w:r>
      <w:r>
        <w:t xml:space="preserve">, </w:t>
      </w:r>
      <w:r>
        <w:rPr>
          <w:i/>
        </w:rPr>
        <w:t>15</w:t>
      </w:r>
      <w:r>
        <w:t>(6), 37-44. Retrieved from http://www.imsersomayores.csic.es/documentos/boletin/2007/numero-52/art-07-07-01.pdf</w:t>
      </w:r>
      <w:bookmarkEnd w:id="9"/>
    </w:p>
    <w:p w:rsidR="005E5CBE" w:rsidRPr="00EF660F" w:rsidRDefault="00EF660F" w:rsidP="00DC7736">
      <w:pPr>
        <w:pStyle w:val="APAReference"/>
      </w:pPr>
      <w:proofErr w:type="spellStart"/>
      <w:proofErr w:type="gramStart"/>
      <w:r>
        <w:t>Cherniak</w:t>
      </w:r>
      <w:proofErr w:type="spellEnd"/>
      <w:r>
        <w:t xml:space="preserve">, E. P., </w:t>
      </w:r>
      <w:proofErr w:type="spellStart"/>
      <w:r>
        <w:t>Florez</w:t>
      </w:r>
      <w:proofErr w:type="spellEnd"/>
      <w:r>
        <w:t>, H. J.,</w:t>
      </w:r>
      <w:r w:rsidR="005A5F2D">
        <w:t xml:space="preserve"> </w:t>
      </w:r>
      <w:r w:rsidR="005A5F2D">
        <w:rPr>
          <w:color w:val="FF0000"/>
        </w:rPr>
        <w:t>&amp;</w:t>
      </w:r>
      <w:r>
        <w:t xml:space="preserve"> </w:t>
      </w:r>
      <w:proofErr w:type="spellStart"/>
      <w:r>
        <w:t>Troen</w:t>
      </w:r>
      <w:proofErr w:type="spellEnd"/>
      <w:r>
        <w:t>, B. R. (2007).</w:t>
      </w:r>
      <w:proofErr w:type="gramEnd"/>
      <w:r>
        <w:t xml:space="preserve"> </w:t>
      </w:r>
      <w:proofErr w:type="gramStart"/>
      <w:r>
        <w:t xml:space="preserve">Emerging therapies to treat frailty syndrome in the elderly </w:t>
      </w:r>
      <w:commentRangeStart w:id="11"/>
      <w:r>
        <w:t>[Journal].</w:t>
      </w:r>
      <w:proofErr w:type="gramEnd"/>
      <w:r>
        <w:t xml:space="preserve"> </w:t>
      </w:r>
      <w:commentRangeEnd w:id="11"/>
      <w:r w:rsidR="005A5F2D">
        <w:rPr>
          <w:rStyle w:val="CommentReference"/>
          <w:rFonts w:asciiTheme="minorHAnsi" w:eastAsiaTheme="minorHAnsi" w:hAnsiTheme="minorHAnsi" w:cstheme="minorBidi"/>
        </w:rPr>
        <w:commentReference w:id="11"/>
      </w:r>
      <w:proofErr w:type="spellStart"/>
      <w:proofErr w:type="gramStart"/>
      <w:r>
        <w:rPr>
          <w:i/>
        </w:rPr>
        <w:t>FindArticles</w:t>
      </w:r>
      <w:proofErr w:type="spellEnd"/>
      <w:r>
        <w:rPr>
          <w:b/>
          <w:i/>
        </w:rPr>
        <w:t>.</w:t>
      </w:r>
      <w:proofErr w:type="gramEnd"/>
      <w:r>
        <w:rPr>
          <w:b/>
          <w:i/>
        </w:rPr>
        <w:t xml:space="preserve"> </w:t>
      </w:r>
      <w:r>
        <w:t xml:space="preserve">Retrieved from </w:t>
      </w:r>
      <w:r w:rsidRPr="00EF660F">
        <w:t>http://findarticles.com/p/articles/mi_m0FDN/is_3_12/ai_n27421818/?tag=content;col1</w:t>
      </w:r>
    </w:p>
    <w:p w:rsidR="00DC7736" w:rsidRDefault="00DC7736" w:rsidP="00DC7736">
      <w:pPr>
        <w:pStyle w:val="APAHeadingCenter"/>
      </w:pPr>
    </w:p>
    <w:sectPr w:rsidR="00DC7736" w:rsidSect="00BA55BB">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Mary" w:date="2012-02-25T17:26:00Z" w:initials="M">
    <w:p w:rsidR="005A5F2D" w:rsidRDefault="005A5F2D">
      <w:pPr>
        <w:pStyle w:val="CommentText"/>
      </w:pPr>
      <w:r>
        <w:rPr>
          <w:rStyle w:val="CommentReference"/>
        </w:rPr>
        <w:annotationRef/>
      </w:r>
      <w:r>
        <w:t>This is actually page 2</w:t>
      </w:r>
    </w:p>
  </w:comment>
  <w:comment w:id="10" w:author="Mary" w:date="2012-02-25T17:29:00Z" w:initials="M">
    <w:p w:rsidR="005A5F2D" w:rsidRDefault="005A5F2D">
      <w:pPr>
        <w:pStyle w:val="CommentText"/>
      </w:pPr>
      <w:r>
        <w:rPr>
          <w:rStyle w:val="CommentReference"/>
        </w:rPr>
        <w:annotationRef/>
      </w:r>
      <w:proofErr w:type="gramStart"/>
      <w:r>
        <w:t>delete</w:t>
      </w:r>
      <w:proofErr w:type="gramEnd"/>
    </w:p>
  </w:comment>
  <w:comment w:id="11" w:author="Mary" w:date="2012-02-25T17:30:00Z" w:initials="M">
    <w:p w:rsidR="005A5F2D" w:rsidRDefault="005A5F2D">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ABA" w:rsidRDefault="00814ABA">
      <w:r>
        <w:separator/>
      </w:r>
    </w:p>
  </w:endnote>
  <w:endnote w:type="continuationSeparator" w:id="0">
    <w:p w:rsidR="00814ABA" w:rsidRDefault="00814A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ABA" w:rsidRDefault="00814ABA">
      <w:r>
        <w:separator/>
      </w:r>
    </w:p>
  </w:footnote>
  <w:footnote w:type="continuationSeparator" w:id="0">
    <w:p w:rsidR="00814ABA" w:rsidRDefault="00814A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5BB" w:rsidRPr="00BA55BB" w:rsidRDefault="00BA55BB" w:rsidP="00BA55BB">
    <w:pPr>
      <w:pStyle w:val="APAPageHeading"/>
    </w:pPr>
    <w:r>
      <w:t>WEEK 5 CASE STUDY</w:t>
    </w:r>
    <w:r>
      <w:tab/>
    </w:r>
    <w:r w:rsidR="00D61934">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5BB" w:rsidRPr="00BA55BB" w:rsidRDefault="00BA55BB" w:rsidP="00BA55BB">
    <w:pPr>
      <w:pStyle w:val="APAPageHeading"/>
    </w:pPr>
    <w:r>
      <w:t>Running head: WEEK 5 CASE STUDY</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5BB" w:rsidRPr="00BA55BB" w:rsidRDefault="00BA55BB" w:rsidP="00BA55BB">
    <w:pPr>
      <w:pStyle w:val="APAPageHeading"/>
    </w:pPr>
    <w:r>
      <w:t>WEEK 5 CASE STUDY</w:t>
    </w:r>
    <w:r>
      <w:tab/>
    </w:r>
    <w:r w:rsidR="00346257">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docVars>
    <w:docVar w:name="409587722916667I0" w:val="*1,262˜11Lazelle~E~Benefield~Rachel~L~Higbee~˜2981˜122007˜13Frailty and its implications for care˜2701˜1112˜112http://consultgerirn.org/topics/frailty_and_its_implications_for_care_new/want_to_know_more#item_5˜"/>
    <w:docVar w:name="409587762731481I0" w:val="*1,76˜11Sara~E~Epsinoza~Linda~P~Fried~˜12032007˜2330˜1241˜178Risk factors for frailty in the older adult˜1454Journal˜16Clinical Geriatrics˜2681˜18615˜2281˜1816˜2711˜116337-44˜21751˜2690˜1196˜1141http://www.imsersomayores.csic.es/documentos/boletin/2007/numero-52/art-07-07-01.pdf˜"/>
    <w:docVar w:name="bmHeaderInfo" w:val="WEEK 5 CASE STUDY"/>
    <w:docVar w:name="cIsAbstract" w:val="False"/>
    <w:docVar w:name="cPaperAPAOrMLA" w:val="1"/>
    <w:docVar w:name="cUniquePaperID" w:val="409587242245370I0"/>
    <w:docVar w:name="LastEditedVersion" w:val="5"/>
  </w:docVars>
  <w:rsids>
    <w:rsidRoot w:val="00964B33"/>
    <w:rsid w:val="000022DA"/>
    <w:rsid w:val="00003776"/>
    <w:rsid w:val="00004A0E"/>
    <w:rsid w:val="0000704A"/>
    <w:rsid w:val="0000750F"/>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BB5"/>
    <w:rsid w:val="000531FC"/>
    <w:rsid w:val="00054627"/>
    <w:rsid w:val="000553B6"/>
    <w:rsid w:val="00055EAD"/>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D156B"/>
    <w:rsid w:val="000D2B19"/>
    <w:rsid w:val="000D2C3F"/>
    <w:rsid w:val="000D2FF5"/>
    <w:rsid w:val="000D605A"/>
    <w:rsid w:val="000D6B46"/>
    <w:rsid w:val="000D79A9"/>
    <w:rsid w:val="000D7BE9"/>
    <w:rsid w:val="000D7D73"/>
    <w:rsid w:val="000E332F"/>
    <w:rsid w:val="000E545D"/>
    <w:rsid w:val="000E5B81"/>
    <w:rsid w:val="000E6116"/>
    <w:rsid w:val="000F01E0"/>
    <w:rsid w:val="000F14DE"/>
    <w:rsid w:val="000F20F8"/>
    <w:rsid w:val="000F2E61"/>
    <w:rsid w:val="000F5E97"/>
    <w:rsid w:val="000F7897"/>
    <w:rsid w:val="00103036"/>
    <w:rsid w:val="001041BF"/>
    <w:rsid w:val="00105122"/>
    <w:rsid w:val="0010597B"/>
    <w:rsid w:val="00106873"/>
    <w:rsid w:val="00106E14"/>
    <w:rsid w:val="001070AD"/>
    <w:rsid w:val="0011050C"/>
    <w:rsid w:val="00111633"/>
    <w:rsid w:val="00115618"/>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50B0"/>
    <w:rsid w:val="0013528E"/>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2ECC"/>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30CD"/>
    <w:rsid w:val="0028334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943"/>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4DFD"/>
    <w:rsid w:val="00317862"/>
    <w:rsid w:val="00321211"/>
    <w:rsid w:val="003221B8"/>
    <w:rsid w:val="0032424E"/>
    <w:rsid w:val="00326D13"/>
    <w:rsid w:val="00326D6C"/>
    <w:rsid w:val="003338CD"/>
    <w:rsid w:val="003353D8"/>
    <w:rsid w:val="0033781A"/>
    <w:rsid w:val="00340452"/>
    <w:rsid w:val="00341408"/>
    <w:rsid w:val="0034375E"/>
    <w:rsid w:val="00343EE0"/>
    <w:rsid w:val="00346027"/>
    <w:rsid w:val="0034625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60F"/>
    <w:rsid w:val="00397A67"/>
    <w:rsid w:val="00397F11"/>
    <w:rsid w:val="003A00CB"/>
    <w:rsid w:val="003A14EB"/>
    <w:rsid w:val="003A1559"/>
    <w:rsid w:val="003A1803"/>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17E4"/>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5F2D"/>
    <w:rsid w:val="005A658D"/>
    <w:rsid w:val="005B031E"/>
    <w:rsid w:val="005B093C"/>
    <w:rsid w:val="005B1212"/>
    <w:rsid w:val="005B1477"/>
    <w:rsid w:val="005B172D"/>
    <w:rsid w:val="005B3CDE"/>
    <w:rsid w:val="005B5BD8"/>
    <w:rsid w:val="005B613C"/>
    <w:rsid w:val="005B6909"/>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5CBE"/>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F36"/>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C81"/>
    <w:rsid w:val="006A5B05"/>
    <w:rsid w:val="006A5DAA"/>
    <w:rsid w:val="006A6456"/>
    <w:rsid w:val="006A64EF"/>
    <w:rsid w:val="006A737F"/>
    <w:rsid w:val="006B01BB"/>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C51"/>
    <w:rsid w:val="006C61AE"/>
    <w:rsid w:val="006C691D"/>
    <w:rsid w:val="006C7077"/>
    <w:rsid w:val="006C7D1B"/>
    <w:rsid w:val="006D09CA"/>
    <w:rsid w:val="006D6792"/>
    <w:rsid w:val="006E1D3F"/>
    <w:rsid w:val="006E24E7"/>
    <w:rsid w:val="006E2BA6"/>
    <w:rsid w:val="006E2F3E"/>
    <w:rsid w:val="006E636D"/>
    <w:rsid w:val="006E702D"/>
    <w:rsid w:val="006E71A1"/>
    <w:rsid w:val="006E750E"/>
    <w:rsid w:val="006E7FFA"/>
    <w:rsid w:val="006F04DE"/>
    <w:rsid w:val="006F332E"/>
    <w:rsid w:val="006F34B1"/>
    <w:rsid w:val="006F4617"/>
    <w:rsid w:val="006F7A7B"/>
    <w:rsid w:val="007034EF"/>
    <w:rsid w:val="007053B9"/>
    <w:rsid w:val="00705D53"/>
    <w:rsid w:val="00706BDD"/>
    <w:rsid w:val="007102AA"/>
    <w:rsid w:val="00710735"/>
    <w:rsid w:val="00712FAC"/>
    <w:rsid w:val="00713C48"/>
    <w:rsid w:val="00714890"/>
    <w:rsid w:val="00715DF0"/>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4ABA"/>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8C2"/>
    <w:rsid w:val="00925820"/>
    <w:rsid w:val="00925F64"/>
    <w:rsid w:val="00927640"/>
    <w:rsid w:val="00931822"/>
    <w:rsid w:val="00931A3C"/>
    <w:rsid w:val="00931A8F"/>
    <w:rsid w:val="009325AA"/>
    <w:rsid w:val="00932B5D"/>
    <w:rsid w:val="00932F63"/>
    <w:rsid w:val="00933AA9"/>
    <w:rsid w:val="00940979"/>
    <w:rsid w:val="00941A20"/>
    <w:rsid w:val="00942668"/>
    <w:rsid w:val="009430EA"/>
    <w:rsid w:val="00943CA2"/>
    <w:rsid w:val="00944300"/>
    <w:rsid w:val="0094500E"/>
    <w:rsid w:val="00945322"/>
    <w:rsid w:val="0094658A"/>
    <w:rsid w:val="00950C9D"/>
    <w:rsid w:val="00951CFA"/>
    <w:rsid w:val="00952BB6"/>
    <w:rsid w:val="00953957"/>
    <w:rsid w:val="00957315"/>
    <w:rsid w:val="00957E83"/>
    <w:rsid w:val="00960500"/>
    <w:rsid w:val="00963B49"/>
    <w:rsid w:val="0096462E"/>
    <w:rsid w:val="00964B33"/>
    <w:rsid w:val="00964BF9"/>
    <w:rsid w:val="00964E6D"/>
    <w:rsid w:val="00967E77"/>
    <w:rsid w:val="00970C79"/>
    <w:rsid w:val="009712EB"/>
    <w:rsid w:val="0097213F"/>
    <w:rsid w:val="00973CE0"/>
    <w:rsid w:val="00977AE3"/>
    <w:rsid w:val="009801F4"/>
    <w:rsid w:val="009805F5"/>
    <w:rsid w:val="00980C27"/>
    <w:rsid w:val="00981506"/>
    <w:rsid w:val="009843DC"/>
    <w:rsid w:val="009846C3"/>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7C87"/>
    <w:rsid w:val="009D1486"/>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6F4B"/>
    <w:rsid w:val="00A2776D"/>
    <w:rsid w:val="00A34A3E"/>
    <w:rsid w:val="00A361B4"/>
    <w:rsid w:val="00A36852"/>
    <w:rsid w:val="00A408A1"/>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DF8"/>
    <w:rsid w:val="00AE599A"/>
    <w:rsid w:val="00AE5E29"/>
    <w:rsid w:val="00AE5F3A"/>
    <w:rsid w:val="00AE6BDD"/>
    <w:rsid w:val="00AE7348"/>
    <w:rsid w:val="00AF2AB9"/>
    <w:rsid w:val="00AF3FA9"/>
    <w:rsid w:val="00AF54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55BB"/>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3FBD"/>
    <w:rsid w:val="00C3441E"/>
    <w:rsid w:val="00C34467"/>
    <w:rsid w:val="00C34D81"/>
    <w:rsid w:val="00C34F10"/>
    <w:rsid w:val="00C34FFB"/>
    <w:rsid w:val="00C365F4"/>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C62"/>
    <w:rsid w:val="00CA0101"/>
    <w:rsid w:val="00CA0B56"/>
    <w:rsid w:val="00CA1974"/>
    <w:rsid w:val="00CA1CD4"/>
    <w:rsid w:val="00CA1DE9"/>
    <w:rsid w:val="00CA20B1"/>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AC4"/>
    <w:rsid w:val="00D43C0D"/>
    <w:rsid w:val="00D44E49"/>
    <w:rsid w:val="00D45F2B"/>
    <w:rsid w:val="00D46F2B"/>
    <w:rsid w:val="00D477D9"/>
    <w:rsid w:val="00D52396"/>
    <w:rsid w:val="00D52688"/>
    <w:rsid w:val="00D53117"/>
    <w:rsid w:val="00D53149"/>
    <w:rsid w:val="00D57123"/>
    <w:rsid w:val="00D618E9"/>
    <w:rsid w:val="00D61934"/>
    <w:rsid w:val="00D632DA"/>
    <w:rsid w:val="00D63373"/>
    <w:rsid w:val="00D659AE"/>
    <w:rsid w:val="00D660B5"/>
    <w:rsid w:val="00D66945"/>
    <w:rsid w:val="00D671F2"/>
    <w:rsid w:val="00D718B3"/>
    <w:rsid w:val="00D71E2D"/>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C7736"/>
    <w:rsid w:val="00DD2B17"/>
    <w:rsid w:val="00DD7B06"/>
    <w:rsid w:val="00DE1273"/>
    <w:rsid w:val="00DE1B7E"/>
    <w:rsid w:val="00DE22DA"/>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54A4"/>
    <w:rsid w:val="00EF660F"/>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B33"/>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2ECC"/>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PA">
    <w:name w:val="APA"/>
    <w:basedOn w:val="BodyText"/>
    <w:rsid w:val="00172ECC"/>
    <w:pPr>
      <w:spacing w:after="0" w:line="480" w:lineRule="auto"/>
      <w:ind w:firstLine="720"/>
    </w:pPr>
    <w:rPr>
      <w:sz w:val="24"/>
    </w:rPr>
  </w:style>
  <w:style w:type="paragraph" w:styleId="BodyText">
    <w:name w:val="Body Text"/>
    <w:basedOn w:val="Normal"/>
    <w:rsid w:val="00172ECC"/>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paragraph" w:styleId="Footer">
    <w:name w:val="footer"/>
    <w:basedOn w:val="Normal"/>
    <w:rsid w:val="00172ECC"/>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PageNumber">
    <w:name w:val="page number"/>
    <w:basedOn w:val="DefaultParagraphFont"/>
    <w:rsid w:val="00172ECC"/>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172ECC"/>
    <w:pPr>
      <w:ind w:left="720" w:firstLine="0"/>
    </w:pPr>
  </w:style>
  <w:style w:type="paragraph" w:customStyle="1" w:styleId="APABlockQuoteSubsequentPara">
    <w:name w:val="APA Block Quote Subsequent Para"/>
    <w:basedOn w:val="APA"/>
    <w:next w:val="APA"/>
    <w:rsid w:val="00172ECC"/>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172ECC"/>
    <w:pPr>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172ECC"/>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5A5F2D"/>
    <w:rPr>
      <w:sz w:val="16"/>
      <w:szCs w:val="16"/>
    </w:rPr>
  </w:style>
  <w:style w:type="paragraph" w:styleId="CommentText">
    <w:name w:val="annotation text"/>
    <w:basedOn w:val="Normal"/>
    <w:link w:val="CommentTextChar"/>
    <w:rsid w:val="005A5F2D"/>
    <w:pPr>
      <w:spacing w:line="240" w:lineRule="auto"/>
    </w:pPr>
    <w:rPr>
      <w:sz w:val="20"/>
      <w:szCs w:val="20"/>
    </w:rPr>
  </w:style>
  <w:style w:type="character" w:customStyle="1" w:styleId="CommentTextChar">
    <w:name w:val="Comment Text Char"/>
    <w:basedOn w:val="DefaultParagraphFont"/>
    <w:link w:val="CommentText"/>
    <w:rsid w:val="005A5F2D"/>
    <w:rPr>
      <w:rFonts w:asciiTheme="minorHAnsi" w:eastAsiaTheme="minorHAnsi" w:hAnsiTheme="minorHAnsi" w:cstheme="minorBidi"/>
    </w:rPr>
  </w:style>
  <w:style w:type="paragraph" w:styleId="CommentSubject">
    <w:name w:val="annotation subject"/>
    <w:basedOn w:val="CommentText"/>
    <w:next w:val="CommentText"/>
    <w:link w:val="CommentSubjectChar"/>
    <w:rsid w:val="005A5F2D"/>
    <w:rPr>
      <w:b/>
      <w:bCs/>
    </w:rPr>
  </w:style>
  <w:style w:type="character" w:customStyle="1" w:styleId="CommentSubjectChar">
    <w:name w:val="Comment Subject Char"/>
    <w:basedOn w:val="CommentTextChar"/>
    <w:link w:val="CommentSubject"/>
    <w:rsid w:val="005A5F2D"/>
    <w:rPr>
      <w:b/>
      <w:bCs/>
    </w:rPr>
  </w:style>
  <w:style w:type="paragraph" w:styleId="BalloonText">
    <w:name w:val="Balloon Text"/>
    <w:basedOn w:val="Normal"/>
    <w:link w:val="BalloonTextChar"/>
    <w:rsid w:val="005A5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A5F2D"/>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6</TotalTime>
  <Pages>5</Pages>
  <Words>745</Words>
  <Characters>4510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Week 5 Case Study</vt:lpstr>
    </vt:vector>
  </TitlesOfParts>
  <Company>Hewlett-Packard</Company>
  <LinksUpToDate>false</LinksUpToDate>
  <CharactersWithSpaces>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5 Case Study</dc:title>
  <dc:subject>Copyright</dc:subject>
  <dc:creator>Tiffany Hartke</dc:creator>
  <cp:lastModifiedBy>Mary</cp:lastModifiedBy>
  <cp:revision>2</cp:revision>
  <dcterms:created xsi:type="dcterms:W3CDTF">2012-02-25T23:32:00Z</dcterms:created>
  <dcterms:modified xsi:type="dcterms:W3CDTF">2012-02-25T23:32:00Z</dcterms:modified>
</cp:coreProperties>
</file>