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90" w:rsidRDefault="0080054D" w:rsidP="0080054D">
      <w:pPr>
        <w:jc w:val="center"/>
      </w:pPr>
      <w:r>
        <w:t>Study Guide for Exam 4 spring 2013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Know the illnesses notifiable to the CDC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Routes that activate chain of infection in infants and children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Common treatments for infection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Nursing interventions for chicken pox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Cat scratch fever assessment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Which illness do you use airborne precautions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Medications to treat scarlet fever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Pertussis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 xml:space="preserve">Head lice 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 xml:space="preserve">Sunsetting, 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Fontanels normal versus abnormal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Neurological assessment in children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Treatment for seizures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Medications for seizures (benzodiapines)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Microcephaly, hydrocephaly, ancephaly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Reye’s syndrome monitoring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Encephalocele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Levels of consciousness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Bacterial, viral, allergic conjunctivitis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Nasolacrimal duct obstruction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Otitis media, otitis externa, otitis media with effusion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Apnea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>Treatment of asthma</w:t>
      </w:r>
    </w:p>
    <w:p w:rsidR="0080054D" w:rsidRDefault="0080054D" w:rsidP="0080054D">
      <w:pPr>
        <w:pStyle w:val="ListParagraph"/>
        <w:numPr>
          <w:ilvl w:val="0"/>
          <w:numId w:val="2"/>
        </w:numPr>
      </w:pPr>
      <w:r>
        <w:t xml:space="preserve">Meningitis 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Care after tonsillectomy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Care of nosebleeds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Foreign body aspiration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Common medical treatments for gastrointestinal disorders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Medications for gastrointestinal disorders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Ostomy care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Cleft lip and cleft palate complications and interventions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Esophageal atresia and Tracheoesophageal fistula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Omphalocele</w:t>
      </w:r>
    </w:p>
    <w:p w:rsidR="00AB5423" w:rsidRDefault="00AB5423" w:rsidP="0080054D">
      <w:pPr>
        <w:pStyle w:val="ListParagraph"/>
        <w:numPr>
          <w:ilvl w:val="0"/>
          <w:numId w:val="2"/>
        </w:numPr>
      </w:pPr>
      <w:r>
        <w:t>Dehydration risk factors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Stages of vomiting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Treatments for GU disorders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Medications for GU disorders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 xml:space="preserve">Epispadias 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Hydronephrosis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UTI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lastRenderedPageBreak/>
        <w:t>Types of enuresis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Acute renal failure, end stage renal failure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Diet for renal patients and celiac disease</w:t>
      </w:r>
    </w:p>
    <w:p w:rsidR="00AB5423" w:rsidRDefault="00AB5423" w:rsidP="00AB5423">
      <w:pPr>
        <w:pStyle w:val="ListParagraph"/>
        <w:numPr>
          <w:ilvl w:val="0"/>
          <w:numId w:val="2"/>
        </w:numPr>
      </w:pPr>
      <w:r>
        <w:t>Cholecystitis</w:t>
      </w:r>
      <w:r w:rsidR="00021C45">
        <w:t>, Mecklel diverticulum, inguinal hernia, umbilical hernia, imperforated anus</w:t>
      </w:r>
    </w:p>
    <w:p w:rsidR="00021C45" w:rsidRDefault="00021C45" w:rsidP="00AB5423">
      <w:pPr>
        <w:pStyle w:val="ListParagraph"/>
        <w:numPr>
          <w:ilvl w:val="0"/>
          <w:numId w:val="2"/>
        </w:numPr>
      </w:pPr>
      <w:r>
        <w:t>Foley catheter sizes for children according to age</w:t>
      </w:r>
    </w:p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/>
    <w:p w:rsidR="0088302B" w:rsidRDefault="0088302B" w:rsidP="00883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Cardiac Questions for Exam 4</w:t>
      </w:r>
    </w:p>
    <w:p w:rsidR="0088302B" w:rsidRDefault="0088302B" w:rsidP="008830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nurse is administering digoxin as ordered and the child vomits the dose. What should the nurse do next?</w:t>
      </w:r>
    </w:p>
    <w:p w:rsidR="0088302B" w:rsidRDefault="0088302B" w:rsidP="00883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the physician</w:t>
      </w:r>
    </w:p>
    <w:p w:rsidR="0088302B" w:rsidRDefault="0088302B" w:rsidP="00883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a snack and administer another dose</w:t>
      </w:r>
    </w:p>
    <w:p w:rsidR="0088302B" w:rsidRDefault="0088302B" w:rsidP="00883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administer another dose</w:t>
      </w:r>
    </w:p>
    <w:p w:rsidR="0088302B" w:rsidRDefault="0088302B" w:rsidP="00883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 next dose as ordered in 12 hours</w:t>
      </w:r>
    </w:p>
    <w:p w:rsidR="0088302B" w:rsidRDefault="0088302B" w:rsidP="0088302B">
      <w:pPr>
        <w:rPr>
          <w:rFonts w:ascii="Times New Roman" w:hAnsi="Times New Roman" w:cs="Times New Roman"/>
          <w:sz w:val="24"/>
          <w:szCs w:val="24"/>
        </w:rPr>
      </w:pPr>
    </w:p>
    <w:p w:rsidR="0088302B" w:rsidRDefault="0088302B" w:rsidP="008830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nurse is caring for an infant with suspected patent ductus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arteriosus</w:t>
      </w:r>
      <w:proofErr w:type="spellEnd"/>
      <w:r>
        <w:rPr>
          <w:rFonts w:ascii="Times New Roman" w:hAnsi="Times New Roman" w:cs="Times New Roman"/>
          <w:sz w:val="24"/>
          <w:szCs w:val="24"/>
        </w:rPr>
        <w:t>. Which of the following assessment finding would the nurse identify as helping to confirm this suspicion?</w:t>
      </w:r>
    </w:p>
    <w:p w:rsidR="0088302B" w:rsidRDefault="0088302B" w:rsidP="008830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Thrill at the base of the heart</w:t>
      </w:r>
    </w:p>
    <w:p w:rsidR="0088302B" w:rsidRDefault="0088302B" w:rsidP="008830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Harsh, continuous, machine –like murmur under the left clavicle</w:t>
      </w:r>
    </w:p>
    <w:p w:rsidR="0088302B" w:rsidRDefault="0088302B" w:rsidP="008830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Faint pulses</w:t>
      </w:r>
    </w:p>
    <w:p w:rsidR="0088302B" w:rsidRDefault="0088302B" w:rsidP="008830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Systolic murmur best heard along the left sternal border</w:t>
      </w:r>
    </w:p>
    <w:p w:rsidR="0088302B" w:rsidRDefault="0088302B" w:rsidP="0088302B">
      <w:pPr>
        <w:rPr>
          <w:rFonts w:ascii="Times New Roman" w:hAnsi="Times New Roman" w:cs="Times New Roman"/>
          <w:sz w:val="24"/>
          <w:szCs w:val="24"/>
        </w:rPr>
      </w:pPr>
    </w:p>
    <w:p w:rsidR="0088302B" w:rsidRDefault="0088302B" w:rsidP="008830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nurse is assessing a child with suspected infective endocarditis. Which of the following assessment finding would the nurse interpret as a sing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extra cardiac emboli?</w:t>
      </w:r>
    </w:p>
    <w:p w:rsidR="0088302B" w:rsidRDefault="0088302B" w:rsidP="008830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</w:t>
      </w:r>
      <w:r w:rsidR="00DF16D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itus</w:t>
      </w:r>
    </w:p>
    <w:p w:rsidR="0088302B" w:rsidRDefault="00DF16D1" w:rsidP="008830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Roth spots</w:t>
      </w:r>
    </w:p>
    <w:p w:rsidR="00DF16D1" w:rsidRDefault="00DF16D1" w:rsidP="008830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Delayed capillary refill</w:t>
      </w:r>
    </w:p>
    <w:p w:rsidR="00DF16D1" w:rsidRDefault="00DF16D1" w:rsidP="008830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Erythema marginatum</w:t>
      </w:r>
    </w:p>
    <w:p w:rsidR="00DF16D1" w:rsidRDefault="00DF16D1" w:rsidP="00DF16D1">
      <w:pPr>
        <w:rPr>
          <w:rFonts w:ascii="Times New Roman" w:hAnsi="Times New Roman" w:cs="Times New Roman"/>
          <w:sz w:val="24"/>
          <w:szCs w:val="24"/>
        </w:rPr>
      </w:pPr>
    </w:p>
    <w:p w:rsidR="00DF16D1" w:rsidRDefault="00DF16D1" w:rsidP="00DF16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conducting a physical examination of a child with suspected Kawasaki disease, which of the following would the nurse expect the assess?</w:t>
      </w:r>
    </w:p>
    <w:p w:rsidR="00DF16D1" w:rsidRDefault="00DF16D1" w:rsidP="00DF1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Hirsutism or striae</w:t>
      </w:r>
    </w:p>
    <w:p w:rsidR="00DF16D1" w:rsidRDefault="00DF16D1" w:rsidP="00DF1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Strawberry tongue</w:t>
      </w:r>
    </w:p>
    <w:p w:rsidR="00DF16D1" w:rsidRDefault="00DF16D1" w:rsidP="00DF1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Malar rash</w:t>
      </w:r>
    </w:p>
    <w:p w:rsidR="00DF16D1" w:rsidRDefault="00DF16D1" w:rsidP="00DF16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Café au lait spots</w:t>
      </w:r>
    </w:p>
    <w:p w:rsidR="00DF16D1" w:rsidRPr="00DF16D1" w:rsidRDefault="00DF16D1" w:rsidP="00DF16D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16D1" w:rsidRPr="00DF1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A9"/>
    <w:multiLevelType w:val="hybridMultilevel"/>
    <w:tmpl w:val="C608A096"/>
    <w:lvl w:ilvl="0" w:tplc="2B6E9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83C0B"/>
    <w:multiLevelType w:val="hybridMultilevel"/>
    <w:tmpl w:val="262E2A32"/>
    <w:lvl w:ilvl="0" w:tplc="AE3E2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70517"/>
    <w:multiLevelType w:val="hybridMultilevel"/>
    <w:tmpl w:val="213C5DC0"/>
    <w:lvl w:ilvl="0" w:tplc="F448F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45367F"/>
    <w:multiLevelType w:val="hybridMultilevel"/>
    <w:tmpl w:val="C572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45B44"/>
    <w:multiLevelType w:val="hybridMultilevel"/>
    <w:tmpl w:val="98EAC88C"/>
    <w:lvl w:ilvl="0" w:tplc="CE8C6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7A7B3A"/>
    <w:multiLevelType w:val="hybridMultilevel"/>
    <w:tmpl w:val="58E6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825D4"/>
    <w:multiLevelType w:val="hybridMultilevel"/>
    <w:tmpl w:val="D5CA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4D"/>
    <w:rsid w:val="00021C45"/>
    <w:rsid w:val="0080054D"/>
    <w:rsid w:val="00844F90"/>
    <w:rsid w:val="0088302B"/>
    <w:rsid w:val="00AB5423"/>
    <w:rsid w:val="00D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2</cp:revision>
  <dcterms:created xsi:type="dcterms:W3CDTF">2013-03-21T19:14:00Z</dcterms:created>
  <dcterms:modified xsi:type="dcterms:W3CDTF">2013-03-21T19:14:00Z</dcterms:modified>
</cp:coreProperties>
</file>