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F1" w:rsidRDefault="001601F3">
      <w:r>
        <w:t>-</w:t>
      </w:r>
      <w:r w:rsidR="00EB5AF1">
        <w:t>Cancer risk –assessment and advice</w:t>
      </w:r>
      <w:r>
        <w:t xml:space="preserve">, </w:t>
      </w:r>
      <w:r w:rsidR="00EB5AF1">
        <w:t>Tobacco and smoking risk.</w:t>
      </w:r>
    </w:p>
    <w:p w:rsidR="00EB5AF1" w:rsidRDefault="00EB5AF1">
      <w:r>
        <w:t>Reasons for noncompliance with chemotherapy – read in Lehne</w:t>
      </w:r>
      <w:r w:rsidR="008E3B4A">
        <w:t xml:space="preserve"> 1170-73</w:t>
      </w:r>
    </w:p>
    <w:p w:rsidR="00EB5AF1" w:rsidRDefault="00EB5AF1">
      <w:r>
        <w:t>Grow fraction – cancer and cancer treatment issues</w:t>
      </w:r>
      <w:r w:rsidR="008E3B4A">
        <w:t xml:space="preserve"> 1168-97-70</w:t>
      </w:r>
    </w:p>
    <w:p w:rsidR="00EB5AF1" w:rsidRDefault="00EB5AF1">
      <w:r>
        <w:t>Screening tools for cancer</w:t>
      </w:r>
      <w:r w:rsidR="008E3B4A">
        <w:t xml:space="preserve"> 1171 1172 pharm</w:t>
      </w:r>
    </w:p>
    <w:p w:rsidR="00EB5AF1" w:rsidRDefault="00EB5AF1">
      <w:r>
        <w:t>Concept of dietary risk – from notes</w:t>
      </w:r>
    </w:p>
    <w:p w:rsidR="00EB5AF1" w:rsidRDefault="00EB5AF1">
      <w:r>
        <w:t>Combination Chemotherapy – advantages</w:t>
      </w:r>
      <w:r w:rsidR="00644B2E">
        <w:t xml:space="preserve"> 980 981</w:t>
      </w:r>
    </w:p>
    <w:p w:rsidR="00EB5AF1" w:rsidRDefault="00EB5AF1">
      <w:r>
        <w:t>Intrathecal medication administration</w:t>
      </w:r>
      <w:r w:rsidR="008E3B4A">
        <w:t xml:space="preserve"> </w:t>
      </w:r>
    </w:p>
    <w:p w:rsidR="00EE7021" w:rsidRPr="00EE7021" w:rsidRDefault="00EE7021" w:rsidP="00EE70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F497D" w:themeColor="text2"/>
        </w:rPr>
      </w:pPr>
      <w:r w:rsidRPr="00EE7021">
        <w:rPr>
          <w:rFonts w:ascii="Times New Roman" w:hAnsi="Times New Roman" w:cs="Times New Roman"/>
          <w:color w:val="1F497D" w:themeColor="text2"/>
        </w:rPr>
        <w:t>urrently, only three agents are licensed for intrathecal chemotherapy</w:t>
      </w:r>
    </w:p>
    <w:p w:rsidR="00EE7021" w:rsidRPr="00EE7021" w:rsidRDefault="00EE7021" w:rsidP="00EE702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1F497D" w:themeColor="text2"/>
        </w:rPr>
      </w:pPr>
      <w:r w:rsidRPr="00EE7021">
        <w:rPr>
          <w:rFonts w:ascii="Times New Roman" w:hAnsi="Times New Roman" w:cs="Times New Roman"/>
          <w:color w:val="1F497D" w:themeColor="text2"/>
        </w:rPr>
        <w:t xml:space="preserve">They are </w:t>
      </w:r>
      <w:hyperlink r:id="rId6" w:tooltip="Methotrexate" w:history="1">
        <w:r w:rsidRPr="00EE7021">
          <w:rPr>
            <w:rStyle w:val="Hyperlink"/>
            <w:rFonts w:ascii="Times New Roman" w:hAnsi="Times New Roman" w:cs="Times New Roman"/>
            <w:color w:val="1F497D" w:themeColor="text2"/>
            <w:u w:val="none"/>
          </w:rPr>
          <w:t>methotrexate</w:t>
        </w:r>
      </w:hyperlink>
      <w:r w:rsidRPr="00EE7021">
        <w:rPr>
          <w:rFonts w:ascii="Times New Roman" w:hAnsi="Times New Roman" w:cs="Times New Roman"/>
          <w:color w:val="1F497D" w:themeColor="text2"/>
        </w:rPr>
        <w:t xml:space="preserve">, </w:t>
      </w:r>
      <w:hyperlink r:id="rId7" w:tooltip="Cytarabine" w:history="1">
        <w:r w:rsidRPr="00EE7021">
          <w:rPr>
            <w:rStyle w:val="Hyperlink"/>
            <w:rFonts w:ascii="Times New Roman" w:hAnsi="Times New Roman" w:cs="Times New Roman"/>
            <w:color w:val="1F497D" w:themeColor="text2"/>
            <w:u w:val="none"/>
          </w:rPr>
          <w:t>cytarabine</w:t>
        </w:r>
      </w:hyperlink>
      <w:r w:rsidRPr="00EE7021">
        <w:rPr>
          <w:rFonts w:ascii="Times New Roman" w:hAnsi="Times New Roman" w:cs="Times New Roman"/>
          <w:color w:val="1F497D" w:themeColor="text2"/>
        </w:rPr>
        <w:t xml:space="preserve"> (a.k.a. Ara-C) and </w:t>
      </w:r>
      <w:hyperlink r:id="rId8" w:tooltip="Hydrocortisone" w:history="1">
        <w:r w:rsidRPr="00EE7021">
          <w:rPr>
            <w:rStyle w:val="Hyperlink"/>
            <w:rFonts w:ascii="Times New Roman" w:hAnsi="Times New Roman" w:cs="Times New Roman"/>
            <w:color w:val="1F497D" w:themeColor="text2"/>
            <w:u w:val="none"/>
          </w:rPr>
          <w:t>hydrocortisone</w:t>
        </w:r>
      </w:hyperlink>
    </w:p>
    <w:p w:rsidR="00EE7021" w:rsidRPr="00EE7021" w:rsidRDefault="00EE7021" w:rsidP="00EE7021">
      <w:pPr>
        <w:pStyle w:val="NormalWeb"/>
        <w:rPr>
          <w:color w:val="1F497D" w:themeColor="text2"/>
        </w:rPr>
      </w:pPr>
      <w:r w:rsidRPr="00EE7021">
        <w:rPr>
          <w:color w:val="1F497D" w:themeColor="text2"/>
        </w:rPr>
        <w:t xml:space="preserve">Administration of other chemotherapeutic agents such as </w:t>
      </w:r>
      <w:hyperlink r:id="rId9" w:tooltip="Vincristine" w:history="1">
        <w:r w:rsidRPr="00EE7021">
          <w:rPr>
            <w:rStyle w:val="Hyperlink"/>
            <w:color w:val="1F497D" w:themeColor="text2"/>
            <w:u w:val="none"/>
          </w:rPr>
          <w:t>vincristine</w:t>
        </w:r>
      </w:hyperlink>
      <w:r w:rsidRPr="00EE7021">
        <w:rPr>
          <w:color w:val="1F497D" w:themeColor="text2"/>
        </w:rPr>
        <w:t xml:space="preserve"> via the intrathecal route can lead to fatal ou is an adjective that refers to something introduced into or occurring in the space under the </w:t>
      </w:r>
      <w:hyperlink r:id="rId10" w:tooltip="Arachnoid membrane" w:history="1">
        <w:r w:rsidRPr="00EE7021">
          <w:rPr>
            <w:rStyle w:val="Hyperlink"/>
            <w:color w:val="1F497D" w:themeColor="text2"/>
            <w:u w:val="none"/>
          </w:rPr>
          <w:t>arachnoid membrane</w:t>
        </w:r>
      </w:hyperlink>
      <w:r w:rsidRPr="00EE7021">
        <w:rPr>
          <w:color w:val="1F497D" w:themeColor="text2"/>
        </w:rPr>
        <w:t xml:space="preserve"> of the </w:t>
      </w:r>
      <w:hyperlink r:id="rId11" w:tooltip="Brain" w:history="1">
        <w:r w:rsidRPr="00EE7021">
          <w:rPr>
            <w:rStyle w:val="Hyperlink"/>
            <w:color w:val="1F497D" w:themeColor="text2"/>
            <w:u w:val="none"/>
          </w:rPr>
          <w:t>brain</w:t>
        </w:r>
      </w:hyperlink>
      <w:r w:rsidRPr="00EE7021">
        <w:rPr>
          <w:color w:val="1F497D" w:themeColor="text2"/>
        </w:rPr>
        <w:t xml:space="preserve"> or </w:t>
      </w:r>
      <w:hyperlink r:id="rId12" w:tooltip="Spinal cord" w:history="1">
        <w:r w:rsidRPr="00EE7021">
          <w:rPr>
            <w:rStyle w:val="Hyperlink"/>
            <w:color w:val="1F497D" w:themeColor="text2"/>
            <w:u w:val="none"/>
          </w:rPr>
          <w:t>spinal cord</w:t>
        </w:r>
      </w:hyperlink>
      <w:r w:rsidRPr="00EE7021">
        <w:rPr>
          <w:color w:val="1F497D" w:themeColor="text2"/>
        </w:rPr>
        <w:t>.</w:t>
      </w:r>
      <w:hyperlink r:id="rId13" w:anchor="cite_note-0" w:history="1">
        <w:r w:rsidRPr="00EE7021">
          <w:rPr>
            <w:color w:val="1F497D" w:themeColor="text2"/>
            <w:vertAlign w:val="superscript"/>
          </w:rPr>
          <w:t>[1]</w:t>
        </w:r>
      </w:hyperlink>
      <w:r w:rsidRPr="00EE7021">
        <w:rPr>
          <w:color w:val="1F497D" w:themeColor="text2"/>
        </w:rPr>
        <w:t xml:space="preserve"> For example, </w:t>
      </w:r>
      <w:r w:rsidRPr="00EE7021">
        <w:rPr>
          <w:b/>
          <w:bCs/>
          <w:color w:val="1F497D" w:themeColor="text2"/>
        </w:rPr>
        <w:t>intrathecal</w:t>
      </w:r>
      <w:r w:rsidRPr="00EE7021">
        <w:rPr>
          <w:color w:val="1F497D" w:themeColor="text2"/>
        </w:rPr>
        <w:t xml:space="preserve"> </w:t>
      </w:r>
      <w:hyperlink r:id="rId14" w:tooltip="Immunoglobulin" w:history="1">
        <w:r w:rsidRPr="00EE7021">
          <w:rPr>
            <w:rStyle w:val="Hyperlink"/>
            <w:color w:val="1F497D" w:themeColor="text2"/>
            <w:u w:val="none"/>
          </w:rPr>
          <w:t>immunoglobulin</w:t>
        </w:r>
      </w:hyperlink>
      <w:r w:rsidRPr="00EE7021">
        <w:rPr>
          <w:color w:val="1F497D" w:themeColor="text2"/>
        </w:rPr>
        <w:t xml:space="preserve"> production means production of this substance in the spinal cord.</w:t>
      </w:r>
      <w:hyperlink r:id="rId15" w:anchor="cite_note-1" w:history="1">
        <w:r w:rsidRPr="00EE7021">
          <w:rPr>
            <w:color w:val="1F497D" w:themeColor="text2"/>
            <w:vertAlign w:val="superscript"/>
          </w:rPr>
          <w:t>[2]</w:t>
        </w:r>
      </w:hyperlink>
    </w:p>
    <w:p w:rsidR="00EE7021" w:rsidRPr="00EE7021" w:rsidRDefault="00EE7021" w:rsidP="00EE7021">
      <w:pPr>
        <w:pStyle w:val="NormalWeb"/>
        <w:rPr>
          <w:color w:val="1F497D" w:themeColor="text2"/>
        </w:rPr>
      </w:pPr>
      <w:r w:rsidRPr="00EE7021">
        <w:rPr>
          <w:color w:val="1F497D" w:themeColor="text2"/>
        </w:rPr>
        <w:t xml:space="preserve">As other example, an intrathecal injection (often simply called "intrathecal") is an </w:t>
      </w:r>
      <w:hyperlink r:id="rId16" w:tooltip="Injection (medicine)" w:history="1">
        <w:r w:rsidRPr="00EE7021">
          <w:rPr>
            <w:rStyle w:val="Hyperlink"/>
            <w:color w:val="1F497D" w:themeColor="text2"/>
            <w:u w:val="none"/>
          </w:rPr>
          <w:t>injection</w:t>
        </w:r>
      </w:hyperlink>
      <w:r w:rsidRPr="00EE7021">
        <w:rPr>
          <w:color w:val="1F497D" w:themeColor="text2"/>
        </w:rPr>
        <w:t xml:space="preserve"> into the spinal canal (intrathecal space surrounding the spinal cord), as in a </w:t>
      </w:r>
      <w:hyperlink r:id="rId17" w:tooltip="Spinal anaesthesia" w:history="1">
        <w:r w:rsidRPr="00EE7021">
          <w:rPr>
            <w:rStyle w:val="Hyperlink"/>
            <w:color w:val="1F497D" w:themeColor="text2"/>
            <w:u w:val="none"/>
          </w:rPr>
          <w:t>spinal anaesthesia</w:t>
        </w:r>
      </w:hyperlink>
      <w:r w:rsidRPr="00EE7021">
        <w:rPr>
          <w:color w:val="1F497D" w:themeColor="text2"/>
        </w:rPr>
        <w:t xml:space="preserve"> or in </w:t>
      </w:r>
      <w:hyperlink r:id="rId18" w:tooltip="Chemotherapy" w:history="1">
        <w:r w:rsidRPr="00EE7021">
          <w:rPr>
            <w:rStyle w:val="Hyperlink"/>
            <w:color w:val="1F497D" w:themeColor="text2"/>
            <w:u w:val="none"/>
          </w:rPr>
          <w:t>chemotherapy</w:t>
        </w:r>
      </w:hyperlink>
      <w:r w:rsidRPr="00EE7021">
        <w:rPr>
          <w:color w:val="1F497D" w:themeColor="text2"/>
        </w:rPr>
        <w:t xml:space="preserve"> or </w:t>
      </w:r>
      <w:hyperlink r:id="rId19" w:tooltip="Pain management" w:history="1">
        <w:r w:rsidRPr="00EE7021">
          <w:rPr>
            <w:rStyle w:val="Hyperlink"/>
            <w:color w:val="1F497D" w:themeColor="text2"/>
            <w:u w:val="none"/>
          </w:rPr>
          <w:t>pain management</w:t>
        </w:r>
      </w:hyperlink>
      <w:r w:rsidRPr="00EE7021">
        <w:rPr>
          <w:color w:val="1F497D" w:themeColor="text2"/>
        </w:rPr>
        <w:t xml:space="preserve"> applications</w:t>
      </w:r>
    </w:p>
    <w:p w:rsidR="00EE7021" w:rsidRDefault="00EE7021" w:rsidP="00EE702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 tcomes</w:t>
      </w:r>
    </w:p>
    <w:p w:rsidR="00EE7021" w:rsidRDefault="00EE7021"/>
    <w:p w:rsidR="00EB5AF1" w:rsidRDefault="00EB5AF1">
      <w:r>
        <w:t>Infection prevention</w:t>
      </w:r>
      <w:r w:rsidR="00644B2E">
        <w:t xml:space="preserve"> 970</w:t>
      </w:r>
    </w:p>
    <w:p w:rsidR="00EB5AF1" w:rsidRDefault="00EB5AF1">
      <w:r>
        <w:t>Neutrophil counts</w:t>
      </w:r>
      <w:r w:rsidR="001E4375">
        <w:t xml:space="preserve"> -</w:t>
      </w:r>
      <w:r w:rsidR="00AA0B6E">
        <w:t xml:space="preserve"> 1175</w:t>
      </w:r>
    </w:p>
    <w:p w:rsidR="00EB5AF1" w:rsidRDefault="00EB5AF1">
      <w:r>
        <w:t>Use of OTC pain relievers</w:t>
      </w:r>
      <w:r w:rsidR="00B21963">
        <w:t xml:space="preserve"> in chemo patients – think bleeding risk.</w:t>
      </w:r>
      <w:r w:rsidR="001E4375">
        <w:t xml:space="preserve"> </w:t>
      </w:r>
      <w:r w:rsidR="00644B2E">
        <w:t>291</w:t>
      </w:r>
    </w:p>
    <w:p w:rsidR="00EB5AF1" w:rsidRDefault="00EB5AF1">
      <w:r>
        <w:t>Vesicants</w:t>
      </w:r>
      <w:r w:rsidR="00650FFB">
        <w:t>1184 pharm</w:t>
      </w:r>
    </w:p>
    <w:p w:rsidR="00EB5AF1" w:rsidRDefault="00EB5AF1">
      <w:r>
        <w:t>Cyclosphamide – administration, uses, adverse effects</w:t>
      </w:r>
      <w:r w:rsidR="00650FFB">
        <w:t xml:space="preserve"> 1186 pharm</w:t>
      </w:r>
    </w:p>
    <w:p w:rsidR="00EB5AF1" w:rsidRDefault="00EB5AF1">
      <w:r>
        <w:t>Carmustine</w:t>
      </w:r>
      <w:r w:rsidR="0066152A">
        <w:t>1187 pharm</w:t>
      </w:r>
    </w:p>
    <w:p w:rsidR="00EB5AF1" w:rsidRDefault="00EB5AF1">
      <w:r>
        <w:t>Placlitaxel</w:t>
      </w:r>
      <w:r w:rsidR="00FF3E74">
        <w:t>-</w:t>
      </w:r>
      <w:r w:rsidR="005F0DEB">
        <w:t xml:space="preserve"> 1193</w:t>
      </w:r>
      <w:r w:rsidR="008E3B4A">
        <w:t xml:space="preserve"> pharm</w:t>
      </w:r>
    </w:p>
    <w:p w:rsidR="00EB5AF1" w:rsidRDefault="00EB5AF1">
      <w:r>
        <w:t>Cisplatic</w:t>
      </w:r>
      <w:r w:rsidR="00FF3E74">
        <w:t>-</w:t>
      </w:r>
      <w:r w:rsidR="0066152A">
        <w:t>1187 pharm</w:t>
      </w:r>
    </w:p>
    <w:p w:rsidR="00EB5AF1" w:rsidRDefault="00AA0B6E">
      <w:r>
        <w:t>Bu</w:t>
      </w:r>
      <w:r w:rsidR="00EB5AF1">
        <w:t>sulfan</w:t>
      </w:r>
      <w:r w:rsidR="00FF3E74">
        <w:t>-</w:t>
      </w:r>
      <w:r>
        <w:t xml:space="preserve"> 1182</w:t>
      </w:r>
      <w:r w:rsidR="00EE7021">
        <w:t>,</w:t>
      </w:r>
      <w:r>
        <w:t xml:space="preserve"> 86</w:t>
      </w:r>
    </w:p>
    <w:p w:rsidR="00EB5AF1" w:rsidRDefault="00EB5AF1">
      <w:r>
        <w:t>Methotrexate</w:t>
      </w:r>
      <w:r w:rsidR="00FF3E74">
        <w:t>-p.1070</w:t>
      </w:r>
      <w:r w:rsidR="0066152A">
        <w:t>, 1187 pharm</w:t>
      </w:r>
    </w:p>
    <w:p w:rsidR="00EB5AF1" w:rsidRDefault="00EB5AF1">
      <w:r>
        <w:lastRenderedPageBreak/>
        <w:t>Glucocorticoids – advantages in cancer patients</w:t>
      </w:r>
      <w:r w:rsidR="00F3571F">
        <w:t xml:space="preserve"> –p.690</w:t>
      </w:r>
      <w:r w:rsidR="00EE7021">
        <w:t>, 710</w:t>
      </w:r>
    </w:p>
    <w:p w:rsidR="00EB5AF1" w:rsidRDefault="00EB5AF1">
      <w:r>
        <w:t>Leuprolide – side effects</w:t>
      </w:r>
      <w:r w:rsidR="00EE7021">
        <w:t xml:space="preserve"> -756 57, </w:t>
      </w:r>
      <w:r w:rsidR="00AA0B6E">
        <w:t>1198 1199</w:t>
      </w:r>
    </w:p>
    <w:p w:rsidR="00EB5AF1" w:rsidRDefault="00EB5AF1">
      <w:r>
        <w:t>Tamoxifen</w:t>
      </w:r>
      <w:r w:rsidR="00F24C1A">
        <w:t xml:space="preserve"> –p. 952 </w:t>
      </w:r>
      <w:r w:rsidR="00F24C1A" w:rsidRPr="00F24C1A">
        <w:rPr>
          <w:color w:val="1F497D" w:themeColor="text2"/>
        </w:rPr>
        <w:t>(breast cancer)</w:t>
      </w:r>
      <w:r w:rsidR="00EE7021">
        <w:rPr>
          <w:color w:val="1F497D" w:themeColor="text2"/>
        </w:rPr>
        <w:t xml:space="preserve"> 722 1201 1202</w:t>
      </w:r>
    </w:p>
    <w:p w:rsidR="00EB5AF1" w:rsidRDefault="00EB5AF1">
      <w:r>
        <w:t>Interleukin – 2 – adverse effects</w:t>
      </w:r>
      <w:r w:rsidR="00F24C1A">
        <w:t xml:space="preserve"> </w:t>
      </w:r>
      <w:r w:rsidR="00F24C1A" w:rsidRPr="00F24C1A">
        <w:rPr>
          <w:color w:val="1F497D" w:themeColor="text2"/>
        </w:rPr>
        <w:t>(itching)</w:t>
      </w:r>
      <w:r w:rsidR="00F24C1A">
        <w:rPr>
          <w:color w:val="1F497D" w:themeColor="text2"/>
        </w:rPr>
        <w:t xml:space="preserve"> </w:t>
      </w:r>
      <w:r w:rsidR="00F24C1A" w:rsidRPr="00EE7021">
        <w:rPr>
          <w:sz w:val="20"/>
        </w:rPr>
        <w:t>p.260</w:t>
      </w:r>
      <w:r w:rsidR="00DA2224">
        <w:rPr>
          <w:sz w:val="20"/>
        </w:rPr>
        <w:t xml:space="preserve"> </w:t>
      </w:r>
      <w:proofErr w:type="spellStart"/>
      <w:r w:rsidR="00DA2224">
        <w:rPr>
          <w:sz w:val="20"/>
        </w:rPr>
        <w:t>patho</w:t>
      </w:r>
      <w:proofErr w:type="spellEnd"/>
      <w:proofErr w:type="gramStart"/>
      <w:r w:rsidR="00EE7021" w:rsidRPr="00EE7021">
        <w:rPr>
          <w:sz w:val="20"/>
        </w:rPr>
        <w:t>,</w:t>
      </w:r>
      <w:r w:rsidR="00EE7021" w:rsidRPr="00EE7021">
        <w:rPr>
          <w:color w:val="1F497D" w:themeColor="text2"/>
          <w:sz w:val="20"/>
        </w:rPr>
        <w:t xml:space="preserve"> </w:t>
      </w:r>
      <w:r w:rsidR="00EE7021">
        <w:rPr>
          <w:color w:val="1F497D" w:themeColor="text2"/>
          <w:sz w:val="20"/>
        </w:rPr>
        <w:t xml:space="preserve"> 1205</w:t>
      </w:r>
      <w:proofErr w:type="gramEnd"/>
      <w:r w:rsidR="00DA2224">
        <w:rPr>
          <w:color w:val="1F497D" w:themeColor="text2"/>
          <w:sz w:val="20"/>
        </w:rPr>
        <w:t xml:space="preserve"> </w:t>
      </w:r>
      <w:proofErr w:type="spellStart"/>
      <w:r w:rsidR="00DA2224">
        <w:rPr>
          <w:color w:val="1F497D" w:themeColor="text2"/>
          <w:sz w:val="20"/>
        </w:rPr>
        <w:t>pharm</w:t>
      </w:r>
      <w:proofErr w:type="spellEnd"/>
    </w:p>
    <w:p w:rsidR="00133D6D" w:rsidRDefault="00133D6D"/>
    <w:p w:rsidR="00133D6D" w:rsidRPr="00F24C1A" w:rsidRDefault="00EB5AF1" w:rsidP="00F24C1A">
      <w:r>
        <w:t>Review the information and side guide for Quiz 2 (helminths/malaria) also review signs and symptoms of mazzotti’s reaction</w:t>
      </w:r>
      <w:r w:rsidR="00F24C1A">
        <w:t>. -</w:t>
      </w:r>
      <w:r w:rsidR="00133D6D" w:rsidRPr="00133D6D">
        <w:rPr>
          <w:color w:val="002060"/>
          <w:sz w:val="24"/>
        </w:rPr>
        <w:t xml:space="preserve">The Mazzotti reaction, first described in 1948, is a symptom complex seen in patients after undergoing treatment of </w:t>
      </w:r>
      <w:hyperlink r:id="rId20" w:tooltip="Onchocerciasis" w:history="1">
        <w:r w:rsidR="00133D6D" w:rsidRPr="00133D6D">
          <w:rPr>
            <w:rStyle w:val="Hyperlink"/>
            <w:color w:val="002060"/>
            <w:sz w:val="24"/>
          </w:rPr>
          <w:t>onchocerciasis</w:t>
        </w:r>
      </w:hyperlink>
      <w:r w:rsidR="00133D6D" w:rsidRPr="00133D6D">
        <w:rPr>
          <w:color w:val="002060"/>
          <w:sz w:val="24"/>
        </w:rPr>
        <w:t xml:space="preserve"> with the medication </w:t>
      </w:r>
      <w:hyperlink r:id="rId21" w:tooltip="Diethylcarbamazine" w:history="1">
        <w:r w:rsidR="00133D6D" w:rsidRPr="00133D6D">
          <w:rPr>
            <w:rStyle w:val="Hyperlink"/>
            <w:color w:val="002060"/>
            <w:sz w:val="24"/>
          </w:rPr>
          <w:t>diethylcarbamazine</w:t>
        </w:r>
      </w:hyperlink>
      <w:r w:rsidR="00133D6D" w:rsidRPr="00133D6D">
        <w:rPr>
          <w:color w:val="002060"/>
          <w:sz w:val="24"/>
        </w:rPr>
        <w:t xml:space="preserve"> (DEC). Mazzotti reactions can be life-threatening, and are characterized by </w:t>
      </w:r>
      <w:hyperlink r:id="rId22" w:tooltip="Fever" w:history="1">
        <w:r w:rsidR="00133D6D" w:rsidRPr="00133D6D">
          <w:rPr>
            <w:rStyle w:val="Hyperlink"/>
            <w:color w:val="002060"/>
            <w:sz w:val="24"/>
          </w:rPr>
          <w:t>fever</w:t>
        </w:r>
      </w:hyperlink>
      <w:r w:rsidR="00133D6D" w:rsidRPr="00133D6D">
        <w:rPr>
          <w:color w:val="002060"/>
          <w:sz w:val="24"/>
        </w:rPr>
        <w:t xml:space="preserve">, </w:t>
      </w:r>
      <w:hyperlink r:id="rId23" w:tooltip="Urticaria" w:history="1">
        <w:r w:rsidR="00133D6D" w:rsidRPr="00133D6D">
          <w:rPr>
            <w:rStyle w:val="Hyperlink"/>
            <w:color w:val="002060"/>
            <w:sz w:val="24"/>
          </w:rPr>
          <w:t>urticaria</w:t>
        </w:r>
      </w:hyperlink>
      <w:r w:rsidR="00133D6D" w:rsidRPr="00133D6D">
        <w:rPr>
          <w:color w:val="002060"/>
          <w:sz w:val="24"/>
        </w:rPr>
        <w:t xml:space="preserve">, </w:t>
      </w:r>
      <w:hyperlink r:id="rId24" w:tooltip="Lymphadenopathy" w:history="1">
        <w:r w:rsidR="00133D6D" w:rsidRPr="00133D6D">
          <w:rPr>
            <w:rStyle w:val="Hyperlink"/>
            <w:color w:val="002060"/>
            <w:sz w:val="24"/>
          </w:rPr>
          <w:t>swollen and tender lymph nodes</w:t>
        </w:r>
      </w:hyperlink>
      <w:r w:rsidR="00133D6D" w:rsidRPr="00133D6D">
        <w:rPr>
          <w:color w:val="002060"/>
          <w:sz w:val="24"/>
        </w:rPr>
        <w:t xml:space="preserve">, </w:t>
      </w:r>
      <w:hyperlink r:id="rId25" w:tooltip="Tachycardia" w:history="1">
        <w:r w:rsidR="00133D6D" w:rsidRPr="00133D6D">
          <w:rPr>
            <w:rStyle w:val="Hyperlink"/>
            <w:color w:val="002060"/>
            <w:sz w:val="24"/>
          </w:rPr>
          <w:t>tachycardia</w:t>
        </w:r>
      </w:hyperlink>
      <w:r w:rsidR="00133D6D" w:rsidRPr="00133D6D">
        <w:rPr>
          <w:color w:val="002060"/>
          <w:sz w:val="24"/>
        </w:rPr>
        <w:t xml:space="preserve">, </w:t>
      </w:r>
      <w:hyperlink r:id="rId26" w:tooltip="Hypotension" w:history="1">
        <w:r w:rsidR="00133D6D" w:rsidRPr="00133D6D">
          <w:rPr>
            <w:rStyle w:val="Hyperlink"/>
            <w:color w:val="002060"/>
            <w:sz w:val="24"/>
          </w:rPr>
          <w:t>hypotension</w:t>
        </w:r>
      </w:hyperlink>
      <w:r w:rsidR="00133D6D" w:rsidRPr="00133D6D">
        <w:rPr>
          <w:color w:val="002060"/>
          <w:sz w:val="24"/>
        </w:rPr>
        <w:t xml:space="preserve">, </w:t>
      </w:r>
      <w:hyperlink r:id="rId27" w:tooltip="Arthralgias" w:history="1">
        <w:r w:rsidR="00133D6D" w:rsidRPr="00133D6D">
          <w:rPr>
            <w:rStyle w:val="Hyperlink"/>
            <w:color w:val="002060"/>
            <w:sz w:val="24"/>
          </w:rPr>
          <w:t>arthralgias</w:t>
        </w:r>
      </w:hyperlink>
      <w:r w:rsidR="00133D6D" w:rsidRPr="00133D6D">
        <w:rPr>
          <w:color w:val="002060"/>
          <w:sz w:val="24"/>
        </w:rPr>
        <w:t xml:space="preserve">, </w:t>
      </w:r>
      <w:hyperlink r:id="rId28" w:tooltip="Oedema" w:history="1">
        <w:r w:rsidR="00133D6D" w:rsidRPr="00133D6D">
          <w:rPr>
            <w:rStyle w:val="Hyperlink"/>
            <w:color w:val="002060"/>
            <w:sz w:val="24"/>
          </w:rPr>
          <w:t>oedema</w:t>
        </w:r>
      </w:hyperlink>
      <w:r w:rsidR="00133D6D" w:rsidRPr="00133D6D">
        <w:rPr>
          <w:color w:val="002060"/>
          <w:sz w:val="24"/>
        </w:rPr>
        <w:t xml:space="preserve">, and </w:t>
      </w:r>
      <w:hyperlink r:id="rId29" w:tooltip="Abdominal pain" w:history="1">
        <w:r w:rsidR="00133D6D" w:rsidRPr="00133D6D">
          <w:rPr>
            <w:rStyle w:val="Hyperlink"/>
            <w:color w:val="002060"/>
            <w:sz w:val="24"/>
          </w:rPr>
          <w:t>abdominal pain</w:t>
        </w:r>
      </w:hyperlink>
      <w:r w:rsidR="00133D6D" w:rsidRPr="00133D6D">
        <w:rPr>
          <w:color w:val="002060"/>
          <w:sz w:val="24"/>
        </w:rPr>
        <w:t xml:space="preserve"> that occur within seven days of treatment of microfilariasis. The Mazzotti reaction correlates with intensity of infection, however there are probably multiple infection intensity-dependent mechanisms responsible for mediating this complex reaction.</w:t>
      </w:r>
      <w:hyperlink r:id="rId30" w:anchor="cite_note-0" w:history="1">
        <w:r w:rsidR="00133D6D" w:rsidRPr="00133D6D">
          <w:rPr>
            <w:color w:val="002060"/>
            <w:sz w:val="24"/>
            <w:u w:val="single"/>
            <w:vertAlign w:val="superscript"/>
          </w:rPr>
          <w:t>[1]</w:t>
        </w:r>
      </w:hyperlink>
      <w:r w:rsidR="00133D6D" w:rsidRPr="00133D6D">
        <w:rPr>
          <w:color w:val="002060"/>
          <w:sz w:val="24"/>
        </w:rPr>
        <w:t xml:space="preserve"> The phenomenon is so common when DEC is used for the treatment of onchocerciasis that this drug is the basis of a </w:t>
      </w:r>
      <w:hyperlink r:id="rId31" w:tooltip="Patch test (medicine)" w:history="1">
        <w:r w:rsidR="00133D6D" w:rsidRPr="00133D6D">
          <w:rPr>
            <w:rStyle w:val="Hyperlink"/>
            <w:color w:val="002060"/>
            <w:sz w:val="24"/>
          </w:rPr>
          <w:t>skin patch test</w:t>
        </w:r>
      </w:hyperlink>
      <w:r w:rsidR="00133D6D" w:rsidRPr="00133D6D">
        <w:rPr>
          <w:color w:val="002060"/>
          <w:sz w:val="24"/>
        </w:rPr>
        <w:t xml:space="preserve"> used to </w:t>
      </w:r>
      <w:hyperlink r:id="rId32" w:tooltip="Powered by Text-Enhance" w:history="1">
        <w:r w:rsidR="00133D6D" w:rsidRPr="00133D6D">
          <w:rPr>
            <w:rStyle w:val="Hyperlink"/>
            <w:color w:val="002060"/>
            <w:sz w:val="24"/>
          </w:rPr>
          <w:t>confirm</w:t>
        </w:r>
      </w:hyperlink>
      <w:r w:rsidR="00133D6D" w:rsidRPr="00133D6D">
        <w:rPr>
          <w:color w:val="002060"/>
          <w:sz w:val="24"/>
        </w:rPr>
        <w:t xml:space="preserve"> that diagnosis. The drug patch is placed on the skin, and if the patient is infected with the microfilaria of </w:t>
      </w:r>
      <w:r w:rsidR="00133D6D" w:rsidRPr="00133D6D">
        <w:rPr>
          <w:i/>
          <w:iCs/>
          <w:color w:val="002060"/>
          <w:sz w:val="24"/>
        </w:rPr>
        <w:t>O. volvulus</w:t>
      </w:r>
      <w:r w:rsidR="00133D6D" w:rsidRPr="00133D6D">
        <w:rPr>
          <w:color w:val="002060"/>
          <w:sz w:val="24"/>
        </w:rPr>
        <w:t xml:space="preserve">, localized </w:t>
      </w:r>
      <w:hyperlink r:id="rId33" w:tooltip="Pruritus" w:history="1">
        <w:r w:rsidR="00133D6D" w:rsidRPr="00133D6D">
          <w:rPr>
            <w:rStyle w:val="Hyperlink"/>
            <w:color w:val="002060"/>
            <w:sz w:val="24"/>
          </w:rPr>
          <w:t>pruritus</w:t>
        </w:r>
      </w:hyperlink>
      <w:r w:rsidR="00133D6D" w:rsidRPr="00133D6D">
        <w:rPr>
          <w:color w:val="002060"/>
          <w:sz w:val="24"/>
        </w:rPr>
        <w:t xml:space="preserve"> and urticaria are seen at the application site.</w:t>
      </w:r>
    </w:p>
    <w:p w:rsidR="00097E0E" w:rsidRDefault="00133D6D" w:rsidP="00DA2224">
      <w:pPr>
        <w:pStyle w:val="NormalWeb"/>
        <w:rPr>
          <w:color w:val="002060"/>
        </w:rPr>
      </w:pPr>
      <w:r w:rsidRPr="00133D6D">
        <w:rPr>
          <w:color w:val="002060"/>
        </w:rPr>
        <w:t xml:space="preserve">A case of the Mazzotti reaction has been reported after presumptive treatment of </w:t>
      </w:r>
      <w:hyperlink r:id="rId34" w:tooltip="Schistosomiasis" w:history="1">
        <w:r w:rsidRPr="00133D6D">
          <w:rPr>
            <w:rStyle w:val="Hyperlink"/>
            <w:color w:val="002060"/>
          </w:rPr>
          <w:t>schistosomiasis</w:t>
        </w:r>
      </w:hyperlink>
      <w:r w:rsidRPr="00133D6D">
        <w:rPr>
          <w:color w:val="002060"/>
        </w:rPr>
        <w:t xml:space="preserve"> and </w:t>
      </w:r>
      <w:hyperlink r:id="rId35" w:tooltip="Strongyloidiasis" w:history="1">
        <w:r w:rsidRPr="00133D6D">
          <w:rPr>
            <w:rStyle w:val="Hyperlink"/>
            <w:color w:val="002060"/>
          </w:rPr>
          <w:t>strongyloidiasis</w:t>
        </w:r>
      </w:hyperlink>
      <w:r w:rsidRPr="00133D6D">
        <w:rPr>
          <w:color w:val="002060"/>
        </w:rPr>
        <w:t xml:space="preserve"> with </w:t>
      </w:r>
      <w:hyperlink r:id="rId36" w:tooltip="Ivermectin" w:history="1">
        <w:r w:rsidRPr="00133D6D">
          <w:rPr>
            <w:rStyle w:val="Hyperlink"/>
            <w:color w:val="002060"/>
          </w:rPr>
          <w:t>ivermectin</w:t>
        </w:r>
      </w:hyperlink>
      <w:r w:rsidRPr="00133D6D">
        <w:rPr>
          <w:color w:val="002060"/>
        </w:rPr>
        <w:t xml:space="preserve">, </w:t>
      </w:r>
      <w:hyperlink r:id="rId37" w:tooltip="Praziquantel" w:history="1">
        <w:r w:rsidRPr="00133D6D">
          <w:rPr>
            <w:rStyle w:val="Hyperlink"/>
            <w:color w:val="002060"/>
          </w:rPr>
          <w:t>praziquantel</w:t>
        </w:r>
      </w:hyperlink>
      <w:r w:rsidRPr="00133D6D">
        <w:rPr>
          <w:color w:val="002060"/>
        </w:rPr>
        <w:t xml:space="preserve"> and </w:t>
      </w:r>
      <w:hyperlink r:id="rId38" w:tooltip="Albendazole" w:history="1">
        <w:r w:rsidRPr="00133D6D">
          <w:rPr>
            <w:rStyle w:val="Hyperlink"/>
            <w:color w:val="002060"/>
          </w:rPr>
          <w:t>albendazole</w:t>
        </w:r>
      </w:hyperlink>
      <w:r w:rsidRPr="00133D6D">
        <w:rPr>
          <w:color w:val="002060"/>
        </w:rPr>
        <w:t xml:space="preserve">. The patient had complete resolution of symptoms after </w:t>
      </w:r>
      <w:hyperlink r:id="rId39" w:tooltip="Intravenous therapy" w:history="1">
        <w:r w:rsidRPr="00133D6D">
          <w:rPr>
            <w:rStyle w:val="Hyperlink"/>
            <w:color w:val="002060"/>
          </w:rPr>
          <w:t>intravenous therapy</w:t>
        </w:r>
      </w:hyperlink>
      <w:r w:rsidRPr="00133D6D">
        <w:rPr>
          <w:color w:val="002060"/>
        </w:rPr>
        <w:t xml:space="preserve"> with </w:t>
      </w:r>
      <w:hyperlink r:id="rId40" w:tooltip="Methylprednisolone" w:history="1">
        <w:r w:rsidRPr="00133D6D">
          <w:rPr>
            <w:rStyle w:val="Hyperlink"/>
            <w:color w:val="002060"/>
          </w:rPr>
          <w:t>methylprednisolone</w:t>
        </w:r>
      </w:hyperlink>
    </w:p>
    <w:p w:rsidR="00097E0E" w:rsidRDefault="00097E0E">
      <w:pPr>
        <w:rPr>
          <w:color w:val="002060"/>
        </w:rPr>
      </w:pPr>
    </w:p>
    <w:p w:rsidR="00097E0E" w:rsidRPr="00097E0E" w:rsidRDefault="00097E0E" w:rsidP="00097E0E">
      <w:pPr>
        <w:rPr>
          <w:color w:val="1F497D" w:themeColor="text2"/>
          <w:sz w:val="24"/>
          <w:szCs w:val="24"/>
        </w:rPr>
      </w:pPr>
      <w:r w:rsidRPr="00C97883">
        <w:rPr>
          <w:rFonts w:ascii="Times New Roman" w:hAnsi="Times New Roman" w:cs="Times New Roman"/>
          <w:b/>
          <w:sz w:val="28"/>
          <w:szCs w:val="28"/>
        </w:rPr>
        <w:t>CYCLOPHSPHAMIDE</w:t>
      </w:r>
      <w:r>
        <w:t xml:space="preserve"> -</w:t>
      </w:r>
      <w:r w:rsidRPr="00097E0E">
        <w:rPr>
          <w:color w:val="1F497D" w:themeColor="text2"/>
          <w:sz w:val="24"/>
          <w:szCs w:val="24"/>
        </w:rPr>
        <w:t>alk</w:t>
      </w:r>
      <w:r w:rsidR="005F0DEB">
        <w:rPr>
          <w:color w:val="1F497D" w:themeColor="text2"/>
          <w:sz w:val="24"/>
          <w:szCs w:val="24"/>
        </w:rPr>
        <w:t>l</w:t>
      </w:r>
      <w:r w:rsidRPr="00097E0E">
        <w:rPr>
          <w:color w:val="1F497D" w:themeColor="text2"/>
          <w:sz w:val="24"/>
          <w:szCs w:val="24"/>
        </w:rPr>
        <w:t>yating agent</w:t>
      </w:r>
      <w:r w:rsidR="005F0DEB">
        <w:rPr>
          <w:color w:val="1F497D" w:themeColor="text2"/>
          <w:sz w:val="24"/>
          <w:szCs w:val="24"/>
        </w:rPr>
        <w:t>, nitrogen mustards,</w:t>
      </w:r>
      <w:r w:rsidRPr="00097E0E">
        <w:rPr>
          <w:color w:val="1F497D" w:themeColor="text2"/>
          <w:sz w:val="24"/>
          <w:szCs w:val="24"/>
        </w:rPr>
        <w:t xml:space="preserve"> active against </w:t>
      </w:r>
      <w:r w:rsidR="00A3276C" w:rsidRPr="00097E0E">
        <w:rPr>
          <w:color w:val="1F497D" w:themeColor="text2"/>
          <w:sz w:val="24"/>
          <w:szCs w:val="24"/>
        </w:rPr>
        <w:t>broad</w:t>
      </w:r>
      <w:r w:rsidRPr="00097E0E">
        <w:rPr>
          <w:color w:val="1F497D" w:themeColor="text2"/>
          <w:sz w:val="24"/>
          <w:szCs w:val="24"/>
        </w:rPr>
        <w:t xml:space="preserve"> spectrum </w:t>
      </w:r>
      <w:r w:rsidR="00A3276C" w:rsidRPr="00097E0E">
        <w:rPr>
          <w:color w:val="1F497D" w:themeColor="text2"/>
          <w:sz w:val="24"/>
          <w:szCs w:val="24"/>
        </w:rPr>
        <w:t>disease</w:t>
      </w:r>
      <w:r w:rsidRPr="00097E0E">
        <w:rPr>
          <w:color w:val="1F497D" w:themeColor="text2"/>
          <w:sz w:val="24"/>
          <w:szCs w:val="24"/>
        </w:rPr>
        <w:t>, effects delayed–</w:t>
      </w:r>
      <w:proofErr w:type="gramStart"/>
      <w:r w:rsidR="00D96904">
        <w:rPr>
          <w:color w:val="1F497D" w:themeColor="text2"/>
          <w:sz w:val="24"/>
          <w:szCs w:val="24"/>
        </w:rPr>
        <w:t xml:space="preserve">FOR </w:t>
      </w:r>
      <w:r w:rsidRPr="00097E0E">
        <w:rPr>
          <w:color w:val="1F497D" w:themeColor="text2"/>
          <w:sz w:val="24"/>
          <w:szCs w:val="24"/>
        </w:rPr>
        <w:t xml:space="preserve"> </w:t>
      </w:r>
      <w:r w:rsidR="00A3276C" w:rsidRPr="00097E0E">
        <w:rPr>
          <w:color w:val="1F497D" w:themeColor="text2"/>
          <w:sz w:val="24"/>
          <w:szCs w:val="24"/>
        </w:rPr>
        <w:t>Hodgkins</w:t>
      </w:r>
      <w:proofErr w:type="gramEnd"/>
      <w:r w:rsidRPr="00097E0E">
        <w:rPr>
          <w:color w:val="1F497D" w:themeColor="text2"/>
          <w:sz w:val="24"/>
          <w:szCs w:val="24"/>
        </w:rPr>
        <w:t xml:space="preserve">, non </w:t>
      </w:r>
      <w:r w:rsidR="00A3276C" w:rsidRPr="00097E0E">
        <w:rPr>
          <w:color w:val="1F497D" w:themeColor="text2"/>
          <w:sz w:val="24"/>
          <w:szCs w:val="24"/>
        </w:rPr>
        <w:t>Hodgkin’s</w:t>
      </w:r>
      <w:r w:rsidRPr="00097E0E">
        <w:rPr>
          <w:color w:val="1F497D" w:themeColor="text2"/>
          <w:sz w:val="24"/>
          <w:szCs w:val="24"/>
        </w:rPr>
        <w:t xml:space="preserve"> lymphomas, multiple myelom, solid tumors of head, neck, ovary, and breast. Most employed alkating agent. Not a vesicant. PO and IV, give with food.  Limiting toxicity – bone marrow suppression, Severe Nausea, vomiting ad apociea common. Can cause hemorrhagic </w:t>
      </w:r>
      <w:r w:rsidR="00A3276C" w:rsidRPr="00097E0E">
        <w:rPr>
          <w:color w:val="1F497D" w:themeColor="text2"/>
          <w:sz w:val="24"/>
          <w:szCs w:val="24"/>
        </w:rPr>
        <w:t>cystitis</w:t>
      </w:r>
      <w:r w:rsidRPr="00097E0E">
        <w:rPr>
          <w:color w:val="1F497D" w:themeColor="text2"/>
          <w:sz w:val="24"/>
          <w:szCs w:val="24"/>
        </w:rPr>
        <w:t xml:space="preserve"> and </w:t>
      </w:r>
      <w:r w:rsidR="00A3276C" w:rsidRPr="00097E0E">
        <w:rPr>
          <w:color w:val="1F497D" w:themeColor="text2"/>
          <w:sz w:val="24"/>
          <w:szCs w:val="24"/>
        </w:rPr>
        <w:t>bladder</w:t>
      </w:r>
      <w:r w:rsidRPr="00097E0E">
        <w:rPr>
          <w:color w:val="1F497D" w:themeColor="text2"/>
          <w:sz w:val="24"/>
          <w:szCs w:val="24"/>
        </w:rPr>
        <w:t xml:space="preserve"> injury., </w:t>
      </w:r>
      <w:r w:rsidR="00A3276C">
        <w:rPr>
          <w:color w:val="1F497D" w:themeColor="text2"/>
          <w:sz w:val="24"/>
          <w:szCs w:val="24"/>
        </w:rPr>
        <w:t>sterility</w:t>
      </w:r>
      <w:r w:rsidRPr="00097E0E">
        <w:rPr>
          <w:color w:val="1F497D" w:themeColor="text2"/>
          <w:sz w:val="24"/>
          <w:szCs w:val="24"/>
        </w:rPr>
        <w:t xml:space="preserve">, immunosupression, </w:t>
      </w:r>
      <w:r w:rsidR="00A3276C" w:rsidRPr="00097E0E">
        <w:rPr>
          <w:color w:val="1F497D" w:themeColor="text2"/>
          <w:sz w:val="24"/>
          <w:szCs w:val="24"/>
        </w:rPr>
        <w:t>hypersensitivity</w:t>
      </w:r>
      <w:r w:rsidRPr="00097E0E">
        <w:rPr>
          <w:color w:val="1F497D" w:themeColor="text2"/>
          <w:sz w:val="24"/>
          <w:szCs w:val="24"/>
        </w:rPr>
        <w:t xml:space="preserve">.  </w:t>
      </w:r>
    </w:p>
    <w:p w:rsidR="00097E0E" w:rsidRPr="00097E0E" w:rsidRDefault="00097E0E" w:rsidP="00097E0E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97E0E" w:rsidRDefault="00097E0E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97E0E">
        <w:rPr>
          <w:rFonts w:ascii="Times New Roman" w:hAnsi="Times New Roman" w:cs="Times New Roman"/>
          <w:b/>
          <w:sz w:val="28"/>
          <w:szCs w:val="28"/>
        </w:rPr>
        <w:t>CARMUSTINE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97E0E">
        <w:rPr>
          <w:rFonts w:ascii="Times New Roman" w:hAnsi="Times New Roman" w:cs="Times New Roman"/>
          <w:color w:val="1F497D" w:themeColor="text2"/>
          <w:sz w:val="24"/>
          <w:szCs w:val="24"/>
        </w:rPr>
        <w:t>BCNU, first</w:t>
      </w:r>
      <w:r w:rsidR="005F0DE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alkylating</w:t>
      </w:r>
      <w:r w:rsidRPr="00097E0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5F0DE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agent, </w:t>
      </w:r>
      <w:r w:rsidRPr="00097E0E">
        <w:rPr>
          <w:rFonts w:ascii="Times New Roman" w:hAnsi="Times New Roman" w:cs="Times New Roman"/>
          <w:color w:val="1F497D" w:themeColor="text2"/>
          <w:sz w:val="24"/>
          <w:szCs w:val="24"/>
        </w:rPr>
        <w:t>nitrosourea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to be test</w:t>
      </w:r>
      <w:r w:rsidR="005F0DE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ed and considered main prototype. Useful </w:t>
      </w:r>
      <w:r w:rsidR="00D9690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FOR </w:t>
      </w:r>
      <w:r w:rsidR="005F0DE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against primary and mestatic tumors of brain. Hodgkin’s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disease</w:t>
      </w:r>
      <w:r w:rsidR="005F0DE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non Hodgkin’s lymphomas, multiple myeloma,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malignant</w:t>
      </w:r>
      <w:r w:rsidR="005F0DEB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mela and rectum. Limiting toxicity – delayed bone marrow suppression.  Nausea and vomiting can be severe, possible injury to kidneys, liver.  Topical on removed tumor. or IV.  Not vesicant, IV can cause phlebitis</w:t>
      </w:r>
    </w:p>
    <w:p w:rsidR="005F0DEB" w:rsidRDefault="005F0DEB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5F0DEB" w:rsidRDefault="005F0DEB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5F0DEB">
        <w:rPr>
          <w:rFonts w:ascii="Times New Roman" w:hAnsi="Times New Roman" w:cs="Times New Roman"/>
          <w:b/>
          <w:sz w:val="28"/>
          <w:szCs w:val="28"/>
        </w:rPr>
        <w:t xml:space="preserve">PLACLITAXEL 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Mitotic inhibitor-Taxane, inhibits cell division, first line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therapy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for ovarian cancer and non-small cell lung cancer, in pts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can’t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be cured by radiation, surgery.  </w:t>
      </w:r>
      <w:r w:rsidR="008D5A8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Second-line therapy for AIDS-sarcoma related.  </w:t>
      </w:r>
      <w:r w:rsidR="00D96904">
        <w:rPr>
          <w:rFonts w:ascii="Times New Roman" w:hAnsi="Times New Roman" w:cs="Times New Roman"/>
          <w:color w:val="1F497D" w:themeColor="text2"/>
          <w:sz w:val="24"/>
          <w:szCs w:val="24"/>
        </w:rPr>
        <w:t>ALSO -</w:t>
      </w:r>
      <w:r w:rsidR="008D5A8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Advanced head and neck cancer, aadenocarcinoma of upper gi tract,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leukemia’s</w:t>
      </w:r>
      <w:r w:rsidR="008D5A8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 Two IV forms –taxol old, onxol newer. Hypotension,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dyspna, angioedema</w:t>
      </w:r>
      <w:r w:rsidR="008D5A8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urticria in IVS but not abraxine. Risk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minimized</w:t>
      </w:r>
      <w:r w:rsidR="008D5A8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w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glucocorticoid. limiting</w:t>
      </w:r>
      <w:r w:rsidR="008D5A87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toxicity – bone marrow suppression (neutropenia) can cause bradycardia. Nausea, vomiting, diarrhea and mucositis common.</w:t>
      </w:r>
    </w:p>
    <w:p w:rsidR="008D5A87" w:rsidRDefault="008D5A87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8D5A87" w:rsidRDefault="008D5A87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D5A87">
        <w:rPr>
          <w:rFonts w:ascii="Times New Roman" w:hAnsi="Times New Roman" w:cs="Times New Roman"/>
          <w:b/>
          <w:sz w:val="28"/>
          <w:szCs w:val="28"/>
        </w:rPr>
        <w:t>CISPLATI</w:t>
      </w:r>
      <w:r>
        <w:rPr>
          <w:rFonts w:ascii="Times New Roman" w:hAnsi="Times New Roman" w:cs="Times New Roman"/>
          <w:b/>
          <w:sz w:val="28"/>
          <w:szCs w:val="28"/>
        </w:rPr>
        <w:t xml:space="preserve">N-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platinum compound, kills cells. Only </w:t>
      </w:r>
      <w:r w:rsidR="00D96904">
        <w:rPr>
          <w:rFonts w:ascii="Times New Roman" w:hAnsi="Times New Roman" w:cs="Times New Roman"/>
          <w:color w:val="1F497D" w:themeColor="text2"/>
          <w:sz w:val="24"/>
          <w:szCs w:val="24"/>
        </w:rPr>
        <w:t>FOR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mestatic testicular and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ovarian cancer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and advanced bladder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cancer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. Off-label-lung, head, neck cancer. Limiting toxicity-kidney damage</w:t>
      </w:r>
      <w:r w:rsidR="00D9690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Nausea</w:t>
      </w:r>
      <w:r w:rsidR="00D96904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and vomiting 1 hour after given. Neuropathy, bone suppression, ototoxicity. IV</w:t>
      </w:r>
    </w:p>
    <w:p w:rsidR="00D96904" w:rsidRDefault="00D96904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D96904" w:rsidRDefault="00D96904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BUSULFAN - 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other alkylating agent. FOR Chronic myekogenous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leukemia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Limiting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foxily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bone marrow suppression, pulmonary infiltrates, pulmonary fibrosis.  Nausea, vomiting, alopecia, gynecomastia, female sterility, hyperpigmentation, cataracts, seizures, live injury. Oral and IV</w:t>
      </w:r>
    </w:p>
    <w:p w:rsidR="00D96904" w:rsidRDefault="00D96904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172CB7" w:rsidRDefault="00172CB7" w:rsidP="00097E0E">
      <w:pPr>
        <w:rPr>
          <w:rFonts w:ascii="Times New Roman" w:hAnsi="Times New Roman" w:cs="Times New Roman"/>
          <w:b/>
          <w:sz w:val="28"/>
          <w:szCs w:val="28"/>
        </w:rPr>
      </w:pPr>
    </w:p>
    <w:p w:rsidR="00666F06" w:rsidRDefault="00666F06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GLUCOCORTICODS –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increase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availability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of glucose. Physiologic effects – low levels of glucocorticods, pharmacologic effects –high levels. </w:t>
      </w:r>
      <w:r w:rsidR="00172CB7">
        <w:rPr>
          <w:rFonts w:ascii="Times New Roman" w:hAnsi="Times New Roman" w:cs="Times New Roman"/>
          <w:color w:val="1F497D" w:themeColor="text2"/>
          <w:sz w:val="24"/>
          <w:szCs w:val="24"/>
        </w:rPr>
        <w:t>Pharm effects-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172CB7">
        <w:rPr>
          <w:rFonts w:ascii="Times New Roman" w:hAnsi="Times New Roman" w:cs="Times New Roman"/>
          <w:color w:val="1F497D" w:themeColor="text2"/>
          <w:sz w:val="24"/>
          <w:szCs w:val="24"/>
        </w:rPr>
        <w:t>Treat cancer with large doses. Physiologic effects - Carb, protein, n fat metabolis, cardiovascular system, skeletal muscle, cns, stress, respiratory in neonates, regulation of synthesis n secretion</w:t>
      </w:r>
    </w:p>
    <w:p w:rsidR="00172CB7" w:rsidRPr="00666F06" w:rsidRDefault="00172CB7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D96904" w:rsidRDefault="00D96904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METHOTERXATE -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666F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antimebolite. Inhibits dihydrofolate reducatse, results cells </w:t>
      </w:r>
      <w:r w:rsidR="00A3276C" w:rsidRPr="00666F06">
        <w:rPr>
          <w:rFonts w:ascii="Times New Roman" w:hAnsi="Times New Roman" w:cs="Times New Roman"/>
          <w:color w:val="1F497D" w:themeColor="text2"/>
          <w:sz w:val="24"/>
          <w:szCs w:val="24"/>
        </w:rPr>
        <w:t>can’t</w:t>
      </w:r>
      <w:r w:rsidRPr="00666F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make DNA. S-phase specific. Programmed cell death.. Normal cells at risk (leucovorin used to saved them)</w:t>
      </w:r>
      <w:r w:rsidR="00666F06" w:rsidRPr="00666F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but potentially dangerous. PO IM IV, and intrathecally. Highly polar, dosage reduced in renal impairment pts. </w:t>
      </w:r>
      <w:r w:rsidR="00666F06">
        <w:rPr>
          <w:rFonts w:ascii="Times New Roman" w:hAnsi="Times New Roman" w:cs="Times New Roman"/>
          <w:color w:val="1F497D" w:themeColor="text2"/>
          <w:sz w:val="24"/>
          <w:szCs w:val="24"/>
        </w:rPr>
        <w:t>Resistance. FOR choriocarincoma. ALSO non-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Hodgkin’s</w:t>
      </w:r>
      <w:r w:rsidR="00666F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lymphomas, acute leukemia of childhood.  Combination use can treat head, neck, osteogenic sarcomas. Rheumatoid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arthritis</w:t>
      </w:r>
      <w:r w:rsidR="00666F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crohn’s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disease</w:t>
      </w:r>
      <w:r w:rsidR="00666F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psoriasis, abortion. Limiting toxicity bone marrow suppression, pulmonary infiltrates n fibrosis, oral n gi ulceration.  Effects intestinal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perforation</w:t>
      </w:r>
      <w:r w:rsidR="00666F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n hemorrhagic enteritis.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Nausea</w:t>
      </w:r>
      <w:r w:rsidR="00666F0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and vomiting. Pregnancy avoided – 6 months.</w:t>
      </w:r>
    </w:p>
    <w:p w:rsidR="00666F06" w:rsidRDefault="00666F06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8D5A87" w:rsidRPr="004E139F" w:rsidRDefault="00172CB7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LEUPROLIDE - 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GnRH. Luteinizing hormone-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releasing</w:t>
      </w:r>
      <w:r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hormone. FOR </w:t>
      </w:r>
      <w:r w:rsidR="00A3276C"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>advanced</w:t>
      </w:r>
      <w:r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carcinoma of prostate. Palliation benefit. Alternative to surgical castion, SUBQ (</w:t>
      </w:r>
      <w:r w:rsidR="00A3276C"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>daily</w:t>
      </w:r>
      <w:r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), IM (every3 months), Implant (once year). Suppressing </w:t>
      </w:r>
      <w:r w:rsidR="004E139F"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 eliminates androgen </w:t>
      </w:r>
      <w:r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>cell production</w:t>
      </w:r>
      <w:r w:rsidR="004E139F"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in </w:t>
      </w:r>
      <w:r w:rsidR="00A3276C"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>testis</w:t>
      </w:r>
      <w:r w:rsidR="004E139F" w:rsidRPr="004E139F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mimic. Works well w androgen receptor blocker. Hot flushes most common effect. Impotence, loss of libio, reduction of muscle mass and increased adipose. Bone pain and urinary obstruction at first.  Risk of osteoporosis.   </w:t>
      </w:r>
    </w:p>
    <w:p w:rsidR="004E139F" w:rsidRDefault="004E139F" w:rsidP="00097E0E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E139F" w:rsidRDefault="004E139F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TAMOXIFEN -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Antiestrogen. FOR breast cancer and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prevention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Blocks estrogen receptors in some and activates in others.  Reduce tumor size. Therapy to suppress growth and treatment of metastic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disease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ORAL. Not recommend for 60 and above, highest risk for breast cancer. </w:t>
      </w:r>
      <w:r w:rsidR="0071005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Erythromycin slows tamoxifen. Hot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flushes</w:t>
      </w:r>
      <w:r w:rsidR="0071005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fluid retention. Vaginal discharge,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nausea</w:t>
      </w:r>
      <w:r w:rsidR="0071005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vomiting, n menstrual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irregularities</w:t>
      </w:r>
      <w:r w:rsidR="0071005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Small risk for deep vein thrombosis, pulmonary embolism, stroke.  Biggest corn endometrial cancer.  </w:t>
      </w:r>
    </w:p>
    <w:p w:rsidR="00710050" w:rsidRDefault="00710050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710050" w:rsidRPr="00C97883" w:rsidRDefault="00C97883" w:rsidP="00097E0E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INTERLEUKIN -2-  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Alfa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2a and 2b. immunostimulant FOR advanced renal carcinoma, melanoma.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Specialist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must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administer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severe effects often.  Stimulates immune function. Enhanced production of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lymphocytes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. ALS</w:t>
      </w:r>
      <w:r w:rsidR="0005167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O mestatic renal cell carcinoma and melanoma. IV. All experience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toxicity</w:t>
      </w:r>
      <w:r w:rsidR="0005167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Fever and chills, nausea, vomiting, hypotension, anemia, diarrhea,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altered</w:t>
      </w:r>
      <w:r w:rsidR="0005167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mental status, tachycardia, impaired renal and liver function. Pulmonary congestion. Dyspnea. Pruritis, and depression. Capillary leak syndrome main concern.  Not given to cardiac,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pulmonary</w:t>
      </w:r>
      <w:r w:rsidR="0005167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, renal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hepatic, or</w:t>
      </w:r>
      <w:r w:rsidR="0005167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cns impairment. Careful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monitoring</w:t>
      </w:r>
      <w:r w:rsidR="0005167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A3276C">
        <w:rPr>
          <w:rFonts w:ascii="Times New Roman" w:hAnsi="Times New Roman" w:cs="Times New Roman"/>
          <w:color w:val="1F497D" w:themeColor="text2"/>
          <w:sz w:val="24"/>
          <w:szCs w:val="24"/>
        </w:rPr>
        <w:t>essential</w:t>
      </w:r>
      <w:r w:rsidR="0005167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.  </w:t>
      </w:r>
    </w:p>
    <w:sectPr w:rsidR="00710050" w:rsidRPr="00C97883" w:rsidSect="00BF7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21AC5"/>
    <w:multiLevelType w:val="multilevel"/>
    <w:tmpl w:val="6CAE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AF1"/>
    <w:rsid w:val="00051676"/>
    <w:rsid w:val="00097E0E"/>
    <w:rsid w:val="00133D6D"/>
    <w:rsid w:val="001601F3"/>
    <w:rsid w:val="00172CB7"/>
    <w:rsid w:val="001E4375"/>
    <w:rsid w:val="00326887"/>
    <w:rsid w:val="004E139F"/>
    <w:rsid w:val="005F0DEB"/>
    <w:rsid w:val="00644B2E"/>
    <w:rsid w:val="00650FFB"/>
    <w:rsid w:val="0066152A"/>
    <w:rsid w:val="00666F06"/>
    <w:rsid w:val="00710050"/>
    <w:rsid w:val="008D5A87"/>
    <w:rsid w:val="008E3B4A"/>
    <w:rsid w:val="00982B75"/>
    <w:rsid w:val="00A3276C"/>
    <w:rsid w:val="00AA0B6E"/>
    <w:rsid w:val="00B21963"/>
    <w:rsid w:val="00BF3792"/>
    <w:rsid w:val="00BF7DFD"/>
    <w:rsid w:val="00C837A9"/>
    <w:rsid w:val="00C97883"/>
    <w:rsid w:val="00D96904"/>
    <w:rsid w:val="00DA2224"/>
    <w:rsid w:val="00EB5AF1"/>
    <w:rsid w:val="00EE7021"/>
    <w:rsid w:val="00F24C1A"/>
    <w:rsid w:val="00F3571F"/>
    <w:rsid w:val="00FF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3D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ydrocortisone" TargetMode="External"/><Relationship Id="rId13" Type="http://schemas.openxmlformats.org/officeDocument/2006/relationships/hyperlink" Target="http://en.wikipedia.org/wiki/Intrathecal" TargetMode="External"/><Relationship Id="rId18" Type="http://schemas.openxmlformats.org/officeDocument/2006/relationships/hyperlink" Target="http://en.wikipedia.org/wiki/Chemotherapy" TargetMode="External"/><Relationship Id="rId26" Type="http://schemas.openxmlformats.org/officeDocument/2006/relationships/hyperlink" Target="http://en.wikipedia.org/wiki/Hypotension" TargetMode="External"/><Relationship Id="rId39" Type="http://schemas.openxmlformats.org/officeDocument/2006/relationships/hyperlink" Target="http://en.wikipedia.org/wiki/Intravenous_therapy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wikipedia.org/wiki/Diethylcarbamazine" TargetMode="External"/><Relationship Id="rId34" Type="http://schemas.openxmlformats.org/officeDocument/2006/relationships/hyperlink" Target="http://en.wikipedia.org/wiki/Schistosomiasis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en.wikipedia.org/wiki/Cytarabine" TargetMode="External"/><Relationship Id="rId12" Type="http://schemas.openxmlformats.org/officeDocument/2006/relationships/hyperlink" Target="http://en.wikipedia.org/wiki/Spinal_cord" TargetMode="External"/><Relationship Id="rId17" Type="http://schemas.openxmlformats.org/officeDocument/2006/relationships/hyperlink" Target="http://en.wikipedia.org/wiki/Spinal_anaesthesia" TargetMode="External"/><Relationship Id="rId25" Type="http://schemas.openxmlformats.org/officeDocument/2006/relationships/hyperlink" Target="http://en.wikipedia.org/wiki/Tachycardia" TargetMode="External"/><Relationship Id="rId33" Type="http://schemas.openxmlformats.org/officeDocument/2006/relationships/hyperlink" Target="http://en.wikipedia.org/wiki/Pruritus" TargetMode="External"/><Relationship Id="rId38" Type="http://schemas.openxmlformats.org/officeDocument/2006/relationships/hyperlink" Target="http://en.wikipedia.org/wiki/Albendazo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Injection_(medicine)" TargetMode="External"/><Relationship Id="rId20" Type="http://schemas.openxmlformats.org/officeDocument/2006/relationships/hyperlink" Target="http://en.wikipedia.org/wiki/Onchocerciasis" TargetMode="External"/><Relationship Id="rId29" Type="http://schemas.openxmlformats.org/officeDocument/2006/relationships/hyperlink" Target="http://en.wikipedia.org/wiki/Abdominal_pai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Methotrexate" TargetMode="External"/><Relationship Id="rId11" Type="http://schemas.openxmlformats.org/officeDocument/2006/relationships/hyperlink" Target="http://en.wikipedia.org/wiki/Brain" TargetMode="External"/><Relationship Id="rId24" Type="http://schemas.openxmlformats.org/officeDocument/2006/relationships/hyperlink" Target="http://en.wikipedia.org/wiki/Lymphadenopathy" TargetMode="External"/><Relationship Id="rId32" Type="http://schemas.openxmlformats.org/officeDocument/2006/relationships/hyperlink" Target="http://en.wikipedia.org/wiki/Mazzotti_Reaction" TargetMode="External"/><Relationship Id="rId37" Type="http://schemas.openxmlformats.org/officeDocument/2006/relationships/hyperlink" Target="http://en.wikipedia.org/wiki/Praziquantel" TargetMode="External"/><Relationship Id="rId40" Type="http://schemas.openxmlformats.org/officeDocument/2006/relationships/hyperlink" Target="http://en.wikipedia.org/wiki/Methylprednisolo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Intrathecal" TargetMode="External"/><Relationship Id="rId23" Type="http://schemas.openxmlformats.org/officeDocument/2006/relationships/hyperlink" Target="http://en.wikipedia.org/wiki/Urticaria" TargetMode="External"/><Relationship Id="rId28" Type="http://schemas.openxmlformats.org/officeDocument/2006/relationships/hyperlink" Target="http://en.wikipedia.org/wiki/Oedema" TargetMode="External"/><Relationship Id="rId36" Type="http://schemas.openxmlformats.org/officeDocument/2006/relationships/hyperlink" Target="http://en.wikipedia.org/wiki/Ivermectin" TargetMode="External"/><Relationship Id="rId10" Type="http://schemas.openxmlformats.org/officeDocument/2006/relationships/hyperlink" Target="http://en.wikipedia.org/wiki/Arachnoid_membrane" TargetMode="External"/><Relationship Id="rId19" Type="http://schemas.openxmlformats.org/officeDocument/2006/relationships/hyperlink" Target="http://en.wikipedia.org/wiki/Pain_management" TargetMode="External"/><Relationship Id="rId31" Type="http://schemas.openxmlformats.org/officeDocument/2006/relationships/hyperlink" Target="http://en.wikipedia.org/wiki/Patch_test_(medicine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Vincristine" TargetMode="External"/><Relationship Id="rId14" Type="http://schemas.openxmlformats.org/officeDocument/2006/relationships/hyperlink" Target="http://en.wikipedia.org/wiki/Immunoglobulin" TargetMode="External"/><Relationship Id="rId22" Type="http://schemas.openxmlformats.org/officeDocument/2006/relationships/hyperlink" Target="http://en.wikipedia.org/wiki/Fever" TargetMode="External"/><Relationship Id="rId27" Type="http://schemas.openxmlformats.org/officeDocument/2006/relationships/hyperlink" Target="http://en.wikipedia.org/wiki/Arthralgias" TargetMode="External"/><Relationship Id="rId30" Type="http://schemas.openxmlformats.org/officeDocument/2006/relationships/hyperlink" Target="http://en.wikipedia.org/wiki/Mazzotti_Reaction" TargetMode="External"/><Relationship Id="rId35" Type="http://schemas.openxmlformats.org/officeDocument/2006/relationships/hyperlink" Target="http://en.wikipedia.org/wiki/Strongyloidia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1971B-D34C-4B92-98FD-8B20180E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Aj</cp:lastModifiedBy>
  <cp:revision>7</cp:revision>
  <dcterms:created xsi:type="dcterms:W3CDTF">2012-03-18T08:05:00Z</dcterms:created>
  <dcterms:modified xsi:type="dcterms:W3CDTF">2012-03-20T00:32:00Z</dcterms:modified>
</cp:coreProperties>
</file>