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A62" w:rsidRDefault="00636A62" w:rsidP="00636A62">
      <w:r>
        <w:t>Start Friday, April 06, 2012 new material from Linda</w:t>
      </w:r>
    </w:p>
    <w:p w:rsidR="00636A62" w:rsidRDefault="00636A62" w:rsidP="00636A62">
      <w:r>
        <w:t>Variables</w:t>
      </w:r>
    </w:p>
    <w:p w:rsidR="00636A62" w:rsidRDefault="00636A62" w:rsidP="00636A62">
      <w:r>
        <w:t xml:space="preserve">The dependent recognized but uncontrolled variables are clearly identified as physiological, psychological, developmental, sociocultural, and spiritual, each of which is also a source for stressors.  </w:t>
      </w:r>
      <w:proofErr w:type="spellStart"/>
      <w:r>
        <w:t>Conceptional</w:t>
      </w:r>
      <w:proofErr w:type="spellEnd"/>
      <w:r>
        <w:t xml:space="preserve"> descriptions of each are as follows:   physiological include the students body and its function  psychological focuses on the students well-being and their interaction with others,  developmental, which in this study involves Intimacy vs. Isolation due to the stressors of fear of contracting and spreading a blood borne disease, or lack of proficiency in performing duties.  Sociocultural variables are classified as society’s outlook and health care expense caused by needle stick injuries. The spiritual variable is what the student believes, such as moral obligations, or the belief that injuries and disease are punishment.  Contextual moderator variables include primary, secondary, and tertiary prevention.  Specifically primary prevents encounters with stressors, education, use of engineered safety devices and no recapping of needles.  Secondary screens for stressor penetration, including peer and instructor evaluations of skills and continuous assessment of needle stick incidents.  Tertiary prevention is post-exposure prophylaxis of needle stick injuries. Demographic variables are also used to describe the students.  </w:t>
      </w:r>
    </w:p>
    <w:p w:rsidR="00636A62" w:rsidRDefault="00636A62" w:rsidP="00636A62">
      <w:r>
        <w:t>Design</w:t>
      </w:r>
    </w:p>
    <w:p w:rsidR="00636A62" w:rsidRDefault="00636A62" w:rsidP="00636A62">
      <w:r>
        <w:t xml:space="preserve">The design utilized is descriptive, using event-partitioning. The design is appropriate for the research problem because this is a descriptive design that “examines characteristics of a single sample, identifies a phenomenon of interest, and identifies the variables within, develops conceptual and operational descriptions of the variables, and describes the variables” (cite book, p.237).  “This is a critically important design requiring knowledge in an area in which little research has been conducted” (cite book, p. 238). “Event-partitioning designs are used to analyze a key event that is thought to lead to change” (cite book, p. 243).  The researcher does not cause or manipulate the key event, but defines it so that when encountered, it is recognized.  This describes the </w:t>
      </w:r>
      <w:proofErr w:type="spellStart"/>
      <w:r>
        <w:t>Neuman</w:t>
      </w:r>
      <w:proofErr w:type="spellEnd"/>
      <w:r>
        <w:t xml:space="preserve"> Systems Model which is the theoretical basis for this study.   Internal validity is addressed as examining stressors indicating an event that is not a planned part of the study, but that occur simultaneously during the study.  Maturation is addressed as students gaining more experience as the study progresses, and testing is addressed in the change of attitudes with increased knowledge. Other possible effects internal validity not specifically addressed are the possibility of selection and mortality.</w:t>
      </w:r>
    </w:p>
    <w:p w:rsidR="00636A62" w:rsidRDefault="00636A62" w:rsidP="00636A62">
      <w:r>
        <w:t>Sample</w:t>
      </w:r>
    </w:p>
    <w:p w:rsidR="00672B49" w:rsidRDefault="00672B49">
      <w:bookmarkStart w:id="0" w:name="_GoBack"/>
      <w:bookmarkEnd w:id="0"/>
    </w:p>
    <w:sectPr w:rsidR="00672B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A62"/>
    <w:rsid w:val="00636A62"/>
    <w:rsid w:val="0067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LBarselow</dc:creator>
  <cp:keywords/>
  <dc:description/>
  <cp:lastModifiedBy>LBarselow</cp:lastModifiedBy>
  <cp:revision>2</cp:revision>
  <dcterms:created xsi:type="dcterms:W3CDTF">2012-04-06T16:26:00Z</dcterms:created>
  <dcterms:modified xsi:type="dcterms:W3CDTF">2012-04-06T16:27:00Z</dcterms:modified>
</cp:coreProperties>
</file>