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6C" w:rsidRPr="00DD016C" w:rsidRDefault="00DD016C" w:rsidP="002E46B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 w:rsidRPr="00DD016C">
        <w:rPr>
          <w:rFonts w:ascii="Helvetica-Bold" w:hAnsi="Helvetica-Bold" w:cs="Helvetica-Bold"/>
          <w:b/>
          <w:bCs/>
          <w:sz w:val="28"/>
          <w:szCs w:val="28"/>
        </w:rPr>
        <w:t>Karen Boyle Paper # 2 Sources</w:t>
      </w:r>
    </w:p>
    <w:p w:rsidR="00DD016C" w:rsidRDefault="00DD016C" w:rsidP="002E46B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  <w:r>
        <w:rPr>
          <w:rFonts w:ascii="Helvetica-Bold" w:hAnsi="Helvetica-Bold" w:cs="Helvetica-Bold"/>
          <w:b/>
          <w:bCs/>
          <w:sz w:val="36"/>
          <w:szCs w:val="36"/>
        </w:rPr>
        <w:t>Effect of supervised exercise intervention on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  <w:proofErr w:type="gramStart"/>
      <w:r>
        <w:rPr>
          <w:rFonts w:ascii="Helvetica-Bold" w:hAnsi="Helvetica-Bold" w:cs="Helvetica-Bold"/>
          <w:b/>
          <w:bCs/>
          <w:sz w:val="36"/>
          <w:szCs w:val="36"/>
        </w:rPr>
        <w:t>metabolic</w:t>
      </w:r>
      <w:proofErr w:type="gramEnd"/>
      <w:r>
        <w:rPr>
          <w:rFonts w:ascii="Helvetica-Bold" w:hAnsi="Helvetica-Bold" w:cs="Helvetica-Bold"/>
          <w:b/>
          <w:bCs/>
          <w:sz w:val="36"/>
          <w:szCs w:val="36"/>
        </w:rPr>
        <w:t xml:space="preserve"> risk factors and physical fitness in Chinese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  <w:proofErr w:type="gramStart"/>
      <w:r>
        <w:rPr>
          <w:rFonts w:ascii="Helvetica-Bold" w:hAnsi="Helvetica-Bold" w:cs="Helvetica-Bold"/>
          <w:b/>
          <w:bCs/>
          <w:sz w:val="36"/>
          <w:szCs w:val="36"/>
        </w:rPr>
        <w:t>obese</w:t>
      </w:r>
      <w:proofErr w:type="gramEnd"/>
      <w:r>
        <w:rPr>
          <w:rFonts w:ascii="Helvetica-Bold" w:hAnsi="Helvetica-Bold" w:cs="Helvetica-Bold"/>
          <w:b/>
          <w:bCs/>
          <w:sz w:val="36"/>
          <w:szCs w:val="36"/>
        </w:rPr>
        <w:t xml:space="preserve"> children in early puberty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sz w:val="12"/>
          <w:szCs w:val="12"/>
        </w:rPr>
      </w:pPr>
      <w:r>
        <w:rPr>
          <w:rFonts w:ascii="Helvetica-Light" w:hAnsi="Helvetica-Light" w:cs="Helvetica-Light"/>
          <w:sz w:val="20"/>
          <w:szCs w:val="20"/>
        </w:rPr>
        <w:t>C. Chang</w:t>
      </w:r>
      <w:r>
        <w:rPr>
          <w:rFonts w:ascii="Helvetica-Light" w:hAnsi="Helvetica-Light" w:cs="Helvetica-Light"/>
          <w:sz w:val="12"/>
          <w:szCs w:val="12"/>
        </w:rPr>
        <w:t>1</w:t>
      </w:r>
      <w:r>
        <w:rPr>
          <w:rFonts w:ascii="Helvetica-Light" w:hAnsi="Helvetica-Light" w:cs="Helvetica-Light"/>
          <w:sz w:val="20"/>
          <w:szCs w:val="20"/>
        </w:rPr>
        <w:t>, W. Liu</w:t>
      </w:r>
      <w:r>
        <w:rPr>
          <w:rFonts w:ascii="Helvetica-Light" w:hAnsi="Helvetica-Light" w:cs="Helvetica-Light"/>
          <w:sz w:val="12"/>
          <w:szCs w:val="12"/>
        </w:rPr>
        <w:t>1</w:t>
      </w:r>
      <w:r>
        <w:rPr>
          <w:rFonts w:ascii="Helvetica-Light" w:hAnsi="Helvetica-Light" w:cs="Helvetica-Light"/>
          <w:sz w:val="20"/>
          <w:szCs w:val="20"/>
        </w:rPr>
        <w:t>, X. Zhao</w:t>
      </w:r>
      <w:r>
        <w:rPr>
          <w:rFonts w:ascii="Helvetica-Light" w:hAnsi="Helvetica-Light" w:cs="Helvetica-Light"/>
          <w:sz w:val="12"/>
          <w:szCs w:val="12"/>
        </w:rPr>
        <w:t>2</w:t>
      </w:r>
      <w:r>
        <w:rPr>
          <w:rFonts w:ascii="Helvetica-Light" w:hAnsi="Helvetica-Light" w:cs="Helvetica-Light"/>
          <w:sz w:val="20"/>
          <w:szCs w:val="20"/>
        </w:rPr>
        <w:t>, S. Li</w:t>
      </w:r>
      <w:r>
        <w:rPr>
          <w:rFonts w:ascii="Helvetica-Light" w:hAnsi="Helvetica-Light" w:cs="Helvetica-Light"/>
          <w:sz w:val="12"/>
          <w:szCs w:val="12"/>
        </w:rPr>
        <w:t xml:space="preserve">1 </w:t>
      </w:r>
      <w:r>
        <w:rPr>
          <w:rFonts w:ascii="Helvetica-Light" w:hAnsi="Helvetica-Light" w:cs="Helvetica-Light"/>
          <w:sz w:val="20"/>
          <w:szCs w:val="20"/>
        </w:rPr>
        <w:t>and C. Yu</w:t>
      </w:r>
      <w:r>
        <w:rPr>
          <w:rFonts w:ascii="Helvetica-Light" w:hAnsi="Helvetica-Light" w:cs="Helvetica-Light"/>
          <w:sz w:val="12"/>
          <w:szCs w:val="12"/>
        </w:rPr>
        <w:t>1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sz w:val="14"/>
          <w:szCs w:val="14"/>
        </w:rPr>
      </w:pPr>
      <w:r>
        <w:rPr>
          <w:rFonts w:ascii="Helvetica-Light" w:hAnsi="Helvetica-Light" w:cs="Helvetica-Light"/>
          <w:sz w:val="9"/>
          <w:szCs w:val="9"/>
        </w:rPr>
        <w:t>1</w:t>
      </w:r>
      <w:r>
        <w:rPr>
          <w:rFonts w:ascii="Helvetica-Light" w:hAnsi="Helvetica-Light" w:cs="Helvetica-Light"/>
          <w:sz w:val="14"/>
          <w:szCs w:val="14"/>
        </w:rPr>
        <w:t>Institute of Sports Medicine, Peking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sz w:val="14"/>
          <w:szCs w:val="14"/>
        </w:rPr>
      </w:pPr>
      <w:r>
        <w:rPr>
          <w:rFonts w:ascii="Helvetica-Light" w:hAnsi="Helvetica-Light" w:cs="Helvetica-Light"/>
          <w:sz w:val="14"/>
          <w:szCs w:val="14"/>
        </w:rPr>
        <w:t xml:space="preserve">University Third Hospital, </w:t>
      </w:r>
      <w:r>
        <w:rPr>
          <w:rFonts w:ascii="Helvetica-Light" w:hAnsi="Helvetica-Light" w:cs="Helvetica-Light"/>
          <w:sz w:val="9"/>
          <w:szCs w:val="9"/>
        </w:rPr>
        <w:t>2</w:t>
      </w:r>
      <w:r>
        <w:rPr>
          <w:rFonts w:ascii="Helvetica-Light" w:hAnsi="Helvetica-Light" w:cs="Helvetica-Light"/>
          <w:sz w:val="14"/>
          <w:szCs w:val="14"/>
        </w:rPr>
        <w:t>Ba Yi Middle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sz w:val="14"/>
          <w:szCs w:val="14"/>
        </w:rPr>
      </w:pPr>
      <w:r>
        <w:rPr>
          <w:rFonts w:ascii="Helvetica-Light" w:hAnsi="Helvetica-Light" w:cs="Helvetica-Light"/>
          <w:sz w:val="14"/>
          <w:szCs w:val="14"/>
        </w:rPr>
        <w:t>School, Beijing, China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sz w:val="14"/>
          <w:szCs w:val="14"/>
        </w:rPr>
      </w:pPr>
      <w:r>
        <w:rPr>
          <w:rFonts w:ascii="Helvetica-Light" w:hAnsi="Helvetica-Light" w:cs="Helvetica-Light"/>
          <w:sz w:val="14"/>
          <w:szCs w:val="14"/>
        </w:rPr>
        <w:t>Address for correspondence: C Chang,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sz w:val="14"/>
          <w:szCs w:val="14"/>
        </w:rPr>
      </w:pPr>
      <w:r>
        <w:rPr>
          <w:rFonts w:ascii="Helvetica-Light" w:hAnsi="Helvetica-Light" w:cs="Helvetica-Light"/>
          <w:sz w:val="14"/>
          <w:szCs w:val="14"/>
        </w:rPr>
        <w:t>Institute of Sports Medicine, Peking University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sz w:val="14"/>
          <w:szCs w:val="14"/>
        </w:rPr>
      </w:pPr>
      <w:proofErr w:type="gramStart"/>
      <w:r>
        <w:rPr>
          <w:rFonts w:ascii="Helvetica-Light" w:hAnsi="Helvetica-Light" w:cs="Helvetica-Light"/>
          <w:sz w:val="14"/>
          <w:szCs w:val="14"/>
        </w:rPr>
        <w:t>Third Hospital, Beijing 100083, China.</w:t>
      </w:r>
      <w:proofErr w:type="gramEnd"/>
      <w:r>
        <w:rPr>
          <w:rFonts w:ascii="Helvetica-Light" w:hAnsi="Helvetica-Light" w:cs="Helvetica-Light"/>
          <w:sz w:val="14"/>
          <w:szCs w:val="14"/>
        </w:rPr>
        <w:t xml:space="preserve"> E-mail: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sz w:val="14"/>
          <w:szCs w:val="14"/>
        </w:rPr>
      </w:pPr>
      <w:r>
        <w:rPr>
          <w:rFonts w:ascii="Helvetica-Light" w:hAnsi="Helvetica-Light" w:cs="Helvetica-Light"/>
          <w:sz w:val="14"/>
          <w:szCs w:val="14"/>
        </w:rPr>
        <w:t>cuiqingchang@yahoo.com.cn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Summary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r>
        <w:rPr>
          <w:rFonts w:ascii="Sabon-Roman" w:hAnsi="Sabon-Roman" w:cs="Sabon-Roman"/>
          <w:sz w:val="18"/>
          <w:szCs w:val="18"/>
        </w:rPr>
        <w:t xml:space="preserve">The aim of this paper was to study the effect of long-term supervised </w:t>
      </w:r>
      <w:proofErr w:type="spellStart"/>
      <w:r>
        <w:rPr>
          <w:rFonts w:ascii="Sabon-Roman" w:hAnsi="Sabon-Roman" w:cs="Sabon-Roman"/>
          <w:sz w:val="18"/>
          <w:szCs w:val="18"/>
        </w:rPr>
        <w:t>exerciseinduced</w:t>
      </w:r>
      <w:proofErr w:type="spellEnd"/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weight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maintenance on metabolic risk factors and physical fitness in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obese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children in early puberty. A total of 49 obese children aged 12–14 years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were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divided into control and exercise groups. The children in the exercise group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accepted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exercise intervention supervised by a professional sports teacher for 9 of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the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12 months. All participants in both groups received health education once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every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3 months. Anthropometry and fasting serum lipids, glucose, insulin and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homeostatic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model assessment for insulin resistance (HOMA-IR) were measured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at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months 0, 3, 9, 12 of the intervention. Physical fitness was determined before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and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after intervention. After the intervention (</w:t>
      </w:r>
      <w:proofErr w:type="spellStart"/>
      <w:r>
        <w:rPr>
          <w:rFonts w:ascii="Sabon-Roman" w:hAnsi="Sabon-Roman" w:cs="Sabon-Roman"/>
          <w:sz w:val="18"/>
          <w:szCs w:val="18"/>
        </w:rPr>
        <w:t>i</w:t>
      </w:r>
      <w:proofErr w:type="spellEnd"/>
      <w:r>
        <w:rPr>
          <w:rFonts w:ascii="Sabon-Roman" w:hAnsi="Sabon-Roman" w:cs="Sabon-Roman"/>
          <w:sz w:val="18"/>
          <w:szCs w:val="18"/>
        </w:rPr>
        <w:t>) BMI was reduced by 0.6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r>
        <w:rPr>
          <w:rFonts w:ascii="Sabon-Roman" w:hAnsi="Sabon-Roman" w:cs="Sabon-Roman"/>
          <w:sz w:val="18"/>
          <w:szCs w:val="18"/>
        </w:rPr>
        <w:t>(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P </w:t>
      </w:r>
      <w:r>
        <w:rPr>
          <w:rFonts w:ascii="Symbol" w:hAnsi="Symbol" w:cs="Symbol"/>
          <w:sz w:val="18"/>
          <w:szCs w:val="18"/>
        </w:rPr>
        <w:t>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Sabon-Roman" w:hAnsi="Sabon-Roman" w:cs="Sabon-Roman"/>
          <w:sz w:val="18"/>
          <w:szCs w:val="18"/>
        </w:rPr>
        <w:t>0.05) in the exercise group, but increased by 0.5 (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P </w:t>
      </w:r>
      <w:r>
        <w:rPr>
          <w:rFonts w:ascii="Symbol" w:hAnsi="Symbol" w:cs="Symbol"/>
          <w:sz w:val="18"/>
          <w:szCs w:val="18"/>
        </w:rPr>
        <w:t>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Sabon-Roman" w:hAnsi="Sabon-Roman" w:cs="Sabon-Roman"/>
          <w:sz w:val="18"/>
          <w:szCs w:val="18"/>
        </w:rPr>
        <w:t>0.05) in the control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group</w:t>
      </w:r>
      <w:proofErr w:type="gramEnd"/>
      <w:r>
        <w:rPr>
          <w:rFonts w:ascii="Sabon-Roman" w:hAnsi="Sabon-Roman" w:cs="Sabon-Roman"/>
          <w:sz w:val="18"/>
          <w:szCs w:val="18"/>
        </w:rPr>
        <w:t>, compared with the pre-intervention level at the end of 9-month intervention;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r>
        <w:rPr>
          <w:rFonts w:ascii="Sabon-Roman" w:hAnsi="Sabon-Roman" w:cs="Sabon-Roman"/>
          <w:sz w:val="18"/>
          <w:szCs w:val="18"/>
        </w:rPr>
        <w:t>(ii) Triglyceride levels in the exercise group significantly decreased by 23.1%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by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3 months (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P </w:t>
      </w:r>
      <w:r>
        <w:rPr>
          <w:rFonts w:ascii="Symbol" w:hAnsi="Symbol" w:cs="Symbol"/>
          <w:sz w:val="18"/>
          <w:szCs w:val="18"/>
        </w:rPr>
        <w:t>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Sabon-Roman" w:hAnsi="Sabon-Roman" w:cs="Sabon-Roman"/>
          <w:sz w:val="18"/>
          <w:szCs w:val="18"/>
        </w:rPr>
        <w:t>0.05), and by 30.2% after 9 months (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P </w:t>
      </w:r>
      <w:r>
        <w:rPr>
          <w:rFonts w:ascii="Symbol" w:hAnsi="Symbol" w:cs="Symbol"/>
          <w:sz w:val="18"/>
          <w:szCs w:val="18"/>
        </w:rPr>
        <w:t>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Sabon-Roman" w:hAnsi="Sabon-Roman" w:cs="Sabon-Roman"/>
          <w:sz w:val="18"/>
          <w:szCs w:val="18"/>
        </w:rPr>
        <w:t>0.05), but increased by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r>
        <w:rPr>
          <w:rFonts w:ascii="Sabon-Roman" w:hAnsi="Sabon-Roman" w:cs="Sabon-Roman"/>
          <w:sz w:val="18"/>
          <w:szCs w:val="18"/>
        </w:rPr>
        <w:t>50% (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P </w:t>
      </w:r>
      <w:r>
        <w:rPr>
          <w:rFonts w:ascii="Symbol" w:hAnsi="Symbol" w:cs="Symbol"/>
          <w:sz w:val="18"/>
          <w:szCs w:val="18"/>
        </w:rPr>
        <w:t>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Sabon-Roman" w:hAnsi="Sabon-Roman" w:cs="Sabon-Roman"/>
          <w:sz w:val="18"/>
          <w:szCs w:val="18"/>
        </w:rPr>
        <w:t>0.05) in the control group; high density lipoprotein-cholesterol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r>
        <w:rPr>
          <w:rFonts w:ascii="Sabon-Roman" w:hAnsi="Sabon-Roman" w:cs="Sabon-Roman"/>
          <w:sz w:val="18"/>
          <w:szCs w:val="18"/>
        </w:rPr>
        <w:t>(HDL-C) decreased more by 35% (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P </w:t>
      </w:r>
      <w:r>
        <w:rPr>
          <w:rFonts w:ascii="Symbol" w:hAnsi="Symbol" w:cs="Symbol"/>
          <w:sz w:val="18"/>
          <w:szCs w:val="18"/>
        </w:rPr>
        <w:t>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Sabon-Roman" w:hAnsi="Sabon-Roman" w:cs="Sabon-Roman"/>
          <w:sz w:val="18"/>
          <w:szCs w:val="18"/>
        </w:rPr>
        <w:t>0.05) in the controls than in the exercise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group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(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P </w:t>
      </w:r>
      <w:r>
        <w:rPr>
          <w:rFonts w:ascii="Symbol" w:hAnsi="Symbol" w:cs="Symbol"/>
          <w:sz w:val="18"/>
          <w:szCs w:val="18"/>
        </w:rPr>
        <w:t>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Sabon-Roman" w:hAnsi="Sabon-Roman" w:cs="Sabon-Roman"/>
          <w:sz w:val="18"/>
          <w:szCs w:val="18"/>
        </w:rPr>
        <w:t>0.05); (iii) Fasting serum glucose, insulin level and HOMA-IR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decreased</w:t>
      </w:r>
      <w:proofErr w:type="gramEnd"/>
      <w:r>
        <w:rPr>
          <w:rFonts w:ascii="Sabon-Roman" w:hAnsi="Sabon-Roman" w:cs="Sabon-Roman"/>
          <w:sz w:val="18"/>
          <w:szCs w:val="18"/>
        </w:rPr>
        <w:t>, respectively, by 23.1%, 36.6% and 48.5% in the exercise group at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r>
        <w:rPr>
          <w:rFonts w:ascii="Sabon-Roman" w:hAnsi="Sabon-Roman" w:cs="Sabon-Roman"/>
          <w:sz w:val="18"/>
          <w:szCs w:val="18"/>
        </w:rPr>
        <w:t>9 months (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P </w:t>
      </w:r>
      <w:r>
        <w:rPr>
          <w:rFonts w:ascii="Symbol" w:hAnsi="Symbol" w:cs="Symbol"/>
          <w:sz w:val="18"/>
          <w:szCs w:val="18"/>
        </w:rPr>
        <w:t>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Sabon-Roman" w:hAnsi="Sabon-Roman" w:cs="Sabon-Roman"/>
          <w:sz w:val="18"/>
          <w:szCs w:val="18"/>
        </w:rPr>
        <w:t>0.05), whereas glucose levels increased by 10.9% (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P </w:t>
      </w:r>
      <w:r>
        <w:rPr>
          <w:rFonts w:ascii="Symbol" w:hAnsi="Symbol" w:cs="Symbol"/>
          <w:sz w:val="18"/>
          <w:szCs w:val="18"/>
        </w:rPr>
        <w:t>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Sabon-Roman" w:hAnsi="Sabon-Roman" w:cs="Sabon-Roman"/>
          <w:sz w:val="18"/>
          <w:szCs w:val="18"/>
        </w:rPr>
        <w:t>0.05) in the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control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group; (iv) Exercise performance, such as upper- and lower-limb strength,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flexibility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and endurance, were enhanced by 17.9%, 12.3%, 22.3% and 20.4%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r>
        <w:rPr>
          <w:rFonts w:ascii="Sabon-Roman" w:hAnsi="Sabon-Roman" w:cs="Sabon-Roman"/>
          <w:sz w:val="18"/>
          <w:szCs w:val="18"/>
        </w:rPr>
        <w:t>(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P </w:t>
      </w:r>
      <w:r>
        <w:rPr>
          <w:rFonts w:ascii="Symbol" w:hAnsi="Symbol" w:cs="Symbol"/>
          <w:sz w:val="18"/>
          <w:szCs w:val="18"/>
        </w:rPr>
        <w:t></w:t>
      </w:r>
      <w:r>
        <w:rPr>
          <w:rFonts w:ascii="Symbol" w:hAnsi="Symbol" w:cs="Symbol"/>
          <w:sz w:val="18"/>
          <w:szCs w:val="18"/>
        </w:rPr>
        <w:t></w:t>
      </w:r>
      <w:r>
        <w:rPr>
          <w:rFonts w:ascii="Sabon-Roman" w:hAnsi="Sabon-Roman" w:cs="Sabon-Roman"/>
          <w:sz w:val="18"/>
          <w:szCs w:val="18"/>
        </w:rPr>
        <w:t>0.01), respectively and (v) At 12 months, i.e. 3 months after terminating the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supervised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exercise, serum triglycerides, glucose, insulin and HOMA-IR level all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returned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to the pre-intervention level. Supervised decrement exercise can effectively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slow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the progress of obesity, improve insulin sensitivity and metabolic risk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factors</w:t>
      </w:r>
      <w:proofErr w:type="gramEnd"/>
      <w:r>
        <w:rPr>
          <w:rFonts w:ascii="Sabon-Roman" w:hAnsi="Sabon-Roman" w:cs="Sabon-Roman"/>
          <w:sz w:val="18"/>
          <w:szCs w:val="18"/>
        </w:rPr>
        <w:t>, but once the supervised exercise is stopped, the health benefits weaken or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vanish</w:t>
      </w:r>
      <w:proofErr w:type="gramEnd"/>
      <w:r>
        <w:rPr>
          <w:rFonts w:ascii="Sabon-Roman" w:hAnsi="Sabon-Roman" w:cs="Sabon-Roman"/>
          <w:sz w:val="18"/>
          <w:szCs w:val="18"/>
        </w:rPr>
        <w:t>. The key to helping these obese children is for them to cultivate good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proofErr w:type="gramStart"/>
      <w:r>
        <w:rPr>
          <w:rFonts w:ascii="Sabon-Roman" w:hAnsi="Sabon-Roman" w:cs="Sabon-Roman"/>
          <w:sz w:val="18"/>
          <w:szCs w:val="18"/>
        </w:rPr>
        <w:t>exercise</w:t>
      </w:r>
      <w:proofErr w:type="gramEnd"/>
      <w:r>
        <w:rPr>
          <w:rFonts w:ascii="Sabon-Roman" w:hAnsi="Sabon-Roman" w:cs="Sabon-Roman"/>
          <w:sz w:val="18"/>
          <w:szCs w:val="18"/>
        </w:rPr>
        <w:t xml:space="preserve"> habits which are sustained throughout their lives.</w:t>
      </w:r>
    </w:p>
    <w:p w:rsidR="002E46B5" w:rsidRDefault="002E46B5" w:rsidP="002E46B5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8"/>
          <w:szCs w:val="18"/>
        </w:rPr>
      </w:pPr>
      <w:r>
        <w:rPr>
          <w:rFonts w:ascii="Sabon-Bold" w:hAnsi="Sabon-Bold" w:cs="Sabon-Bold"/>
          <w:b/>
          <w:bCs/>
          <w:sz w:val="18"/>
          <w:szCs w:val="18"/>
        </w:rPr>
        <w:t xml:space="preserve">Keywords: </w:t>
      </w:r>
      <w:r>
        <w:rPr>
          <w:rFonts w:ascii="Sabon-Roman" w:hAnsi="Sabon-Roman" w:cs="Sabon-Roman"/>
          <w:sz w:val="18"/>
          <w:szCs w:val="18"/>
        </w:rPr>
        <w:t>Exercise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, </w:t>
      </w:r>
      <w:r>
        <w:rPr>
          <w:rFonts w:ascii="Sabon-Roman" w:hAnsi="Sabon-Roman" w:cs="Sabon-Roman"/>
          <w:sz w:val="18"/>
          <w:szCs w:val="18"/>
        </w:rPr>
        <w:t>insulin resistance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, </w:t>
      </w:r>
      <w:r>
        <w:rPr>
          <w:rFonts w:ascii="Sabon-Roman" w:hAnsi="Sabon-Roman" w:cs="Sabon-Roman"/>
          <w:sz w:val="18"/>
          <w:szCs w:val="18"/>
        </w:rPr>
        <w:t>lipid</w:t>
      </w:r>
      <w:r>
        <w:rPr>
          <w:rFonts w:ascii="Sabon-Italic" w:hAnsi="Sabon-Italic" w:cs="Sabon-Italic"/>
          <w:i/>
          <w:iCs/>
          <w:sz w:val="18"/>
          <w:szCs w:val="18"/>
        </w:rPr>
        <w:t xml:space="preserve">, </w:t>
      </w:r>
      <w:r>
        <w:rPr>
          <w:rFonts w:ascii="Sabon-Roman" w:hAnsi="Sabon-Roman" w:cs="Sabon-Roman"/>
          <w:sz w:val="18"/>
          <w:szCs w:val="18"/>
        </w:rPr>
        <w:t>obesity.</w:t>
      </w:r>
    </w:p>
    <w:p w:rsidR="00B96677" w:rsidRDefault="002E46B5" w:rsidP="002E46B5">
      <w:pPr>
        <w:rPr>
          <w:rFonts w:ascii="Helvetica-Light" w:hAnsi="Helvetica-Light" w:cs="Helvetica-Light"/>
          <w:sz w:val="17"/>
          <w:szCs w:val="17"/>
        </w:rPr>
      </w:pPr>
      <w:proofErr w:type="gramStart"/>
      <w:r>
        <w:rPr>
          <w:rFonts w:ascii="Helvetica-Black" w:hAnsi="Helvetica-Black" w:cs="Helvetica-Black"/>
          <w:b/>
          <w:bCs/>
          <w:sz w:val="17"/>
          <w:szCs w:val="17"/>
        </w:rPr>
        <w:t>obesity</w:t>
      </w:r>
      <w:proofErr w:type="gramEnd"/>
      <w:r>
        <w:rPr>
          <w:rFonts w:ascii="Helvetica-Black" w:hAnsi="Helvetica-Black" w:cs="Helvetica-Black"/>
          <w:b/>
          <w:bCs/>
          <w:sz w:val="17"/>
          <w:szCs w:val="17"/>
        </w:rPr>
        <w:t xml:space="preserve"> </w:t>
      </w:r>
      <w:r>
        <w:rPr>
          <w:rFonts w:ascii="Helvetica-Light" w:hAnsi="Helvetica-Light" w:cs="Helvetica-Light"/>
          <w:sz w:val="17"/>
          <w:szCs w:val="17"/>
        </w:rPr>
        <w:t xml:space="preserve">reviews (2008) </w:t>
      </w:r>
      <w:r>
        <w:rPr>
          <w:rFonts w:ascii="Helvetica-Bold" w:hAnsi="Helvetica-Bold" w:cs="Helvetica-Bold"/>
          <w:b/>
          <w:bCs/>
          <w:sz w:val="17"/>
          <w:szCs w:val="17"/>
        </w:rPr>
        <w:t>9 (Suppl. 1)</w:t>
      </w:r>
      <w:r>
        <w:rPr>
          <w:rFonts w:ascii="Helvetica-Light" w:hAnsi="Helvetica-Light" w:cs="Helvetica-Light"/>
          <w:sz w:val="17"/>
          <w:szCs w:val="17"/>
        </w:rPr>
        <w:t>, 135–141</w:t>
      </w:r>
    </w:p>
    <w:p w:rsidR="00DD016C" w:rsidRDefault="00DD016C" w:rsidP="002E46B5">
      <w:pPr>
        <w:rPr>
          <w:rFonts w:ascii="Helvetica-Light" w:hAnsi="Helvetica-Light" w:cs="Helvetica-Light"/>
          <w:sz w:val="17"/>
          <w:szCs w:val="17"/>
        </w:rPr>
      </w:pPr>
    </w:p>
    <w:p w:rsidR="00DD016C" w:rsidRDefault="00DD016C" w:rsidP="002E46B5">
      <w:pPr>
        <w:rPr>
          <w:rFonts w:ascii="Helvetica-Light" w:hAnsi="Helvetica-Light" w:cs="Helvetica-Light"/>
          <w:sz w:val="17"/>
          <w:szCs w:val="17"/>
        </w:rPr>
      </w:pPr>
    </w:p>
    <w:p w:rsidR="00DD016C" w:rsidRDefault="00DD016C" w:rsidP="002E46B5">
      <w:pPr>
        <w:rPr>
          <w:rFonts w:ascii="Helvetica-Light" w:hAnsi="Helvetica-Light" w:cs="Helvetica-Light"/>
          <w:sz w:val="17"/>
          <w:szCs w:val="17"/>
        </w:rPr>
      </w:pPr>
    </w:p>
    <w:p w:rsidR="00DD016C" w:rsidRDefault="00DD016C" w:rsidP="002E46B5">
      <w:pPr>
        <w:rPr>
          <w:rFonts w:ascii="Helvetica-Light" w:hAnsi="Helvetica-Light" w:cs="Helvetica-Light"/>
          <w:sz w:val="17"/>
          <w:szCs w:val="17"/>
        </w:rPr>
      </w:pPr>
    </w:p>
    <w:p w:rsidR="00DD016C" w:rsidRDefault="00DD016C" w:rsidP="002E46B5">
      <w:pPr>
        <w:rPr>
          <w:rFonts w:ascii="Helvetica-Light" w:hAnsi="Helvetica-Light" w:cs="Helvetica-Light"/>
          <w:sz w:val="17"/>
          <w:szCs w:val="17"/>
        </w:rPr>
      </w:pPr>
    </w:p>
    <w:p w:rsidR="00DD016C" w:rsidRDefault="00DD016C" w:rsidP="002E46B5">
      <w:pPr>
        <w:rPr>
          <w:rFonts w:ascii="Helvetica-Light" w:hAnsi="Helvetica-Light" w:cs="Helvetica-Light"/>
          <w:sz w:val="17"/>
          <w:szCs w:val="17"/>
        </w:rPr>
      </w:pPr>
    </w:p>
    <w:p w:rsidR="00DD016C" w:rsidRDefault="00DD016C" w:rsidP="002E46B5">
      <w:pPr>
        <w:rPr>
          <w:rFonts w:ascii="Helvetica-Light" w:hAnsi="Helvetica-Light" w:cs="Helvetica-Light"/>
          <w:sz w:val="17"/>
          <w:szCs w:val="17"/>
        </w:rPr>
      </w:pPr>
    </w:p>
    <w:p w:rsidR="00DD016C" w:rsidRDefault="00DD016C" w:rsidP="002E46B5">
      <w:pPr>
        <w:rPr>
          <w:rFonts w:ascii="Helvetica-Light" w:hAnsi="Helvetica-Light" w:cs="Helvetica-Light"/>
          <w:sz w:val="17"/>
          <w:szCs w:val="17"/>
        </w:rPr>
      </w:pPr>
    </w:p>
    <w:p w:rsidR="00DD016C" w:rsidRP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-b" w:hAnsi="AdvTimes-b" w:cs="AdvTimes-b"/>
          <w:sz w:val="20"/>
          <w:szCs w:val="20"/>
          <w:lang w:val="fi-FI"/>
        </w:rPr>
      </w:pPr>
      <w:r w:rsidRPr="00DD016C">
        <w:rPr>
          <w:rFonts w:ascii="AdvTimes-b" w:hAnsi="AdvTimes-b" w:cs="AdvTimes-b"/>
          <w:sz w:val="20"/>
          <w:szCs w:val="20"/>
          <w:lang w:val="fi-FI"/>
        </w:rPr>
        <w:t xml:space="preserve">Alon Eliakim </w:t>
      </w:r>
      <w:r w:rsidRPr="00DD016C">
        <w:rPr>
          <w:rFonts w:ascii="AdvPSMP1" w:hAnsi="AdvPSMP1" w:cs="AdvPSMP1"/>
          <w:sz w:val="20"/>
          <w:szCs w:val="20"/>
          <w:lang w:val="fi-FI"/>
        </w:rPr>
        <w:t xml:space="preserve">Æ </w:t>
      </w:r>
      <w:r w:rsidRPr="00DD016C">
        <w:rPr>
          <w:rFonts w:ascii="AdvTimes-b" w:hAnsi="AdvTimes-b" w:cs="AdvTimes-b"/>
          <w:sz w:val="20"/>
          <w:szCs w:val="20"/>
          <w:lang w:val="fi-FI"/>
        </w:rPr>
        <w:t xml:space="preserve">Galit Kaven </w:t>
      </w:r>
      <w:r w:rsidRPr="00DD016C">
        <w:rPr>
          <w:rFonts w:ascii="AdvPSMP1" w:hAnsi="AdvPSMP1" w:cs="AdvPSMP1"/>
          <w:sz w:val="20"/>
          <w:szCs w:val="20"/>
          <w:lang w:val="fi-FI"/>
        </w:rPr>
        <w:t xml:space="preserve">Æ </w:t>
      </w:r>
      <w:r w:rsidRPr="00DD016C">
        <w:rPr>
          <w:rFonts w:ascii="AdvTimes-b" w:hAnsi="AdvTimes-b" w:cs="AdvTimes-b"/>
          <w:sz w:val="20"/>
          <w:szCs w:val="20"/>
          <w:lang w:val="fi-FI"/>
        </w:rPr>
        <w:t>Isaac Berger</w:t>
      </w:r>
    </w:p>
    <w:p w:rsidR="00DD016C" w:rsidRP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-b" w:hAnsi="AdvTimes-b" w:cs="AdvTimes-b"/>
          <w:sz w:val="20"/>
          <w:szCs w:val="20"/>
          <w:lang w:val="fi-FI"/>
        </w:rPr>
      </w:pPr>
      <w:r w:rsidRPr="00DD016C">
        <w:rPr>
          <w:rFonts w:ascii="AdvTimes-b" w:hAnsi="AdvTimes-b" w:cs="AdvTimes-b"/>
          <w:sz w:val="20"/>
          <w:szCs w:val="20"/>
          <w:lang w:val="fi-FI"/>
        </w:rPr>
        <w:t xml:space="preserve">Orit Friedland </w:t>
      </w:r>
      <w:r w:rsidRPr="00DD016C">
        <w:rPr>
          <w:rFonts w:ascii="AdvPSMP1" w:hAnsi="AdvPSMP1" w:cs="AdvPSMP1"/>
          <w:sz w:val="20"/>
          <w:szCs w:val="20"/>
          <w:lang w:val="fi-FI"/>
        </w:rPr>
        <w:t xml:space="preserve">Æ </w:t>
      </w:r>
      <w:r w:rsidRPr="00DD016C">
        <w:rPr>
          <w:rFonts w:ascii="AdvTimes-b" w:hAnsi="AdvTimes-b" w:cs="AdvTimes-b"/>
          <w:sz w:val="20"/>
          <w:szCs w:val="20"/>
          <w:lang w:val="fi-FI"/>
        </w:rPr>
        <w:t xml:space="preserve">Baruch Wolach </w:t>
      </w:r>
      <w:r w:rsidRPr="00DD016C">
        <w:rPr>
          <w:rFonts w:ascii="AdvPSMP1" w:hAnsi="AdvPSMP1" w:cs="AdvPSMP1"/>
          <w:sz w:val="20"/>
          <w:szCs w:val="20"/>
          <w:lang w:val="fi-FI"/>
        </w:rPr>
        <w:t xml:space="preserve">Æ </w:t>
      </w:r>
      <w:r w:rsidRPr="00DD016C">
        <w:rPr>
          <w:rFonts w:ascii="AdvTimes-b" w:hAnsi="AdvTimes-b" w:cs="AdvTimes-b"/>
          <w:sz w:val="20"/>
          <w:szCs w:val="20"/>
          <w:lang w:val="fi-FI"/>
        </w:rPr>
        <w:t>Dan Nemet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SFGC" w:hAnsi="AdvPSFGC" w:cs="AdvPSFGC"/>
          <w:sz w:val="34"/>
          <w:szCs w:val="34"/>
        </w:rPr>
      </w:pPr>
      <w:r>
        <w:rPr>
          <w:rFonts w:ascii="AdvPSFGC" w:hAnsi="AdvPSFGC" w:cs="AdvPSFGC"/>
          <w:sz w:val="34"/>
          <w:szCs w:val="34"/>
        </w:rPr>
        <w:t>The effect of a combined intervention on body mass index and fitness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SFGC" w:hAnsi="AdvPSFGC" w:cs="AdvPSFGC"/>
          <w:sz w:val="34"/>
          <w:szCs w:val="34"/>
        </w:rPr>
      </w:pPr>
      <w:proofErr w:type="gramStart"/>
      <w:r>
        <w:rPr>
          <w:rFonts w:ascii="AdvPSFGC" w:hAnsi="AdvPSFGC" w:cs="AdvPSFGC"/>
          <w:sz w:val="34"/>
          <w:szCs w:val="34"/>
        </w:rPr>
        <w:t>in</w:t>
      </w:r>
      <w:proofErr w:type="gramEnd"/>
      <w:r>
        <w:rPr>
          <w:rFonts w:ascii="AdvPSFGC" w:hAnsi="AdvPSFGC" w:cs="AdvPSFGC"/>
          <w:sz w:val="34"/>
          <w:szCs w:val="34"/>
        </w:rPr>
        <w:t xml:space="preserve"> obese children and adolescents – a clinical experience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>Received: 6 February 2002 / Revised: 13 April 2002, 3 May 2002 and 21 May 2002 / Accepted: 22 May 2002 /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>Published online: 28 June 2002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PSSym" w:hAnsi="AdvPSSym" w:cs="AdvPSSym"/>
          <w:sz w:val="17"/>
          <w:szCs w:val="17"/>
        </w:rPr>
        <w:t xml:space="preserve">_ </w:t>
      </w:r>
      <w:r>
        <w:rPr>
          <w:rFonts w:ascii="AdvTimes" w:hAnsi="AdvTimes" w:cs="AdvTimes"/>
          <w:sz w:val="17"/>
          <w:szCs w:val="17"/>
        </w:rPr>
        <w:t>Springer-</w:t>
      </w:r>
      <w:proofErr w:type="spellStart"/>
      <w:r>
        <w:rPr>
          <w:rFonts w:ascii="AdvTimes" w:hAnsi="AdvTimes" w:cs="AdvTimes"/>
          <w:sz w:val="17"/>
          <w:szCs w:val="17"/>
        </w:rPr>
        <w:t>Verlag</w:t>
      </w:r>
      <w:proofErr w:type="spellEnd"/>
      <w:r>
        <w:rPr>
          <w:rFonts w:ascii="AdvTimes" w:hAnsi="AdvTimes" w:cs="AdvTimes"/>
          <w:sz w:val="17"/>
          <w:szCs w:val="17"/>
        </w:rPr>
        <w:t xml:space="preserve"> 2002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r>
        <w:rPr>
          <w:rFonts w:ascii="AdvTimes-b" w:hAnsi="AdvTimes-b" w:cs="AdvTimes-b"/>
          <w:sz w:val="20"/>
          <w:szCs w:val="20"/>
        </w:rPr>
        <w:t xml:space="preserve">Abstract </w:t>
      </w:r>
      <w:proofErr w:type="gramStart"/>
      <w:r>
        <w:rPr>
          <w:rFonts w:ascii="AdvTimes" w:hAnsi="AdvTimes" w:cs="AdvTimes"/>
          <w:sz w:val="20"/>
          <w:szCs w:val="20"/>
        </w:rPr>
        <w:t>We</w:t>
      </w:r>
      <w:proofErr w:type="gramEnd"/>
      <w:r>
        <w:rPr>
          <w:rFonts w:ascii="AdvTimes" w:hAnsi="AdvTimes" w:cs="AdvTimes"/>
          <w:sz w:val="20"/>
          <w:szCs w:val="20"/>
        </w:rPr>
        <w:t xml:space="preserve"> assessed the effect of a weight management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spellStart"/>
      <w:proofErr w:type="gramStart"/>
      <w:r>
        <w:rPr>
          <w:rFonts w:ascii="AdvTimes" w:hAnsi="AdvTimes" w:cs="AdvTimes"/>
          <w:sz w:val="20"/>
          <w:szCs w:val="20"/>
        </w:rPr>
        <w:t>programme</w:t>
      </w:r>
      <w:proofErr w:type="spellEnd"/>
      <w:proofErr w:type="gramEnd"/>
      <w:r>
        <w:rPr>
          <w:rFonts w:ascii="AdvTimes" w:hAnsi="AdvTimes" w:cs="AdvTimes"/>
          <w:sz w:val="20"/>
          <w:szCs w:val="20"/>
        </w:rPr>
        <w:t xml:space="preserve"> on body weight, body mass index (BMI),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and</w:t>
      </w:r>
      <w:proofErr w:type="gramEnd"/>
      <w:r>
        <w:rPr>
          <w:rFonts w:ascii="AdvTimes" w:hAnsi="AdvTimes" w:cs="AdvTimes"/>
          <w:sz w:val="20"/>
          <w:szCs w:val="20"/>
        </w:rPr>
        <w:t xml:space="preserve"> fitness in obese children and adolescents. The study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was</w:t>
      </w:r>
      <w:proofErr w:type="gramEnd"/>
      <w:r>
        <w:rPr>
          <w:rFonts w:ascii="AdvTimes" w:hAnsi="AdvTimes" w:cs="AdvTimes"/>
          <w:sz w:val="20"/>
          <w:szCs w:val="20"/>
        </w:rPr>
        <w:t xml:space="preserve"> designed as a longitudinal, non-</w:t>
      </w:r>
      <w:proofErr w:type="spellStart"/>
      <w:r>
        <w:rPr>
          <w:rFonts w:ascii="AdvTimes" w:hAnsi="AdvTimes" w:cs="AdvTimes"/>
          <w:sz w:val="20"/>
          <w:szCs w:val="20"/>
        </w:rPr>
        <w:t>randomised</w:t>
      </w:r>
      <w:proofErr w:type="spellEnd"/>
      <w:r>
        <w:rPr>
          <w:rFonts w:ascii="AdvTimes" w:hAnsi="AdvTimes" w:cs="AdvTimes"/>
          <w:sz w:val="20"/>
          <w:szCs w:val="20"/>
        </w:rPr>
        <w:t>, clinical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experience</w:t>
      </w:r>
      <w:proofErr w:type="gramEnd"/>
      <w:r>
        <w:rPr>
          <w:rFonts w:ascii="AdvTimes" w:hAnsi="AdvTimes" w:cs="AdvTimes"/>
          <w:sz w:val="20"/>
          <w:szCs w:val="20"/>
        </w:rPr>
        <w:t xml:space="preserve"> of a 3 and 6 month combined </w:t>
      </w:r>
      <w:proofErr w:type="spellStart"/>
      <w:r>
        <w:rPr>
          <w:rFonts w:ascii="AdvTimes" w:hAnsi="AdvTimes" w:cs="AdvTimes"/>
          <w:sz w:val="20"/>
          <w:szCs w:val="20"/>
        </w:rPr>
        <w:t>dietarybehavioural</w:t>
      </w:r>
      <w:proofErr w:type="spellEnd"/>
      <w:r>
        <w:rPr>
          <w:rFonts w:ascii="AdvTimes" w:hAnsi="AdvTimes" w:cs="AdvTimes"/>
          <w:sz w:val="20"/>
          <w:szCs w:val="20"/>
        </w:rPr>
        <w:t>-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exercise</w:t>
      </w:r>
      <w:proofErr w:type="gramEnd"/>
      <w:r>
        <w:rPr>
          <w:rFonts w:ascii="AdvTimes" w:hAnsi="AdvTimes" w:cs="AdvTimes"/>
          <w:sz w:val="20"/>
          <w:szCs w:val="20"/>
        </w:rPr>
        <w:t xml:space="preserve"> intervention. A total of 177 obese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children</w:t>
      </w:r>
      <w:proofErr w:type="gramEnd"/>
      <w:r>
        <w:rPr>
          <w:rFonts w:ascii="AdvTimes" w:hAnsi="AdvTimes" w:cs="AdvTimes"/>
          <w:sz w:val="20"/>
          <w:szCs w:val="20"/>
        </w:rPr>
        <w:t xml:space="preserve"> (age 6–16 years) participated in the 3 month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spellStart"/>
      <w:proofErr w:type="gramStart"/>
      <w:r>
        <w:rPr>
          <w:rFonts w:ascii="AdvTimes" w:hAnsi="AdvTimes" w:cs="AdvTimes"/>
          <w:sz w:val="20"/>
          <w:szCs w:val="20"/>
        </w:rPr>
        <w:t>programme</w:t>
      </w:r>
      <w:proofErr w:type="spellEnd"/>
      <w:proofErr w:type="gramEnd"/>
      <w:r>
        <w:rPr>
          <w:rFonts w:ascii="AdvTimes" w:hAnsi="AdvTimes" w:cs="AdvTimes"/>
          <w:sz w:val="20"/>
          <w:szCs w:val="20"/>
        </w:rPr>
        <w:t>, of whom 65 completed the 6 month intervention.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r>
        <w:rPr>
          <w:rFonts w:ascii="AdvTimes" w:hAnsi="AdvTimes" w:cs="AdvTimes"/>
          <w:sz w:val="20"/>
          <w:szCs w:val="20"/>
        </w:rPr>
        <w:t>A group of 25 age- and maturity-matched obese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children</w:t>
      </w:r>
      <w:proofErr w:type="gramEnd"/>
      <w:r>
        <w:rPr>
          <w:rFonts w:ascii="AdvTimes" w:hAnsi="AdvTimes" w:cs="AdvTimes"/>
          <w:sz w:val="20"/>
          <w:szCs w:val="20"/>
        </w:rPr>
        <w:t xml:space="preserve"> who did not participate in the structured </w:t>
      </w:r>
      <w:proofErr w:type="spellStart"/>
      <w:r>
        <w:rPr>
          <w:rFonts w:ascii="AdvTimes" w:hAnsi="AdvTimes" w:cs="AdvTimes"/>
          <w:sz w:val="20"/>
          <w:szCs w:val="20"/>
        </w:rPr>
        <w:t>programme</w:t>
      </w:r>
      <w:proofErr w:type="spellEnd"/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served</w:t>
      </w:r>
      <w:proofErr w:type="gramEnd"/>
      <w:r>
        <w:rPr>
          <w:rFonts w:ascii="AdvTimes" w:hAnsi="AdvTimes" w:cs="AdvTimes"/>
          <w:sz w:val="20"/>
          <w:szCs w:val="20"/>
        </w:rPr>
        <w:t xml:space="preserve"> as controls. Body weight, BMI, and fitness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were</w:t>
      </w:r>
      <w:proofErr w:type="gramEnd"/>
      <w:r>
        <w:rPr>
          <w:rFonts w:ascii="AdvTimes" w:hAnsi="AdvTimes" w:cs="AdvTimes"/>
          <w:sz w:val="20"/>
          <w:szCs w:val="20"/>
        </w:rPr>
        <w:t xml:space="preserve"> evaluated at baseline, and after the 3 and 6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months</w:t>
      </w:r>
      <w:proofErr w:type="gramEnd"/>
      <w:r>
        <w:rPr>
          <w:rFonts w:ascii="AdvTimes" w:hAnsi="AdvTimes" w:cs="AdvTimes"/>
          <w:sz w:val="20"/>
          <w:szCs w:val="20"/>
        </w:rPr>
        <w:t xml:space="preserve"> intervention. Body weight and BMI were significantly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reduced</w:t>
      </w:r>
      <w:proofErr w:type="gramEnd"/>
      <w:r>
        <w:rPr>
          <w:rFonts w:ascii="AdvTimes" w:hAnsi="AdvTimes" w:cs="AdvTimes"/>
          <w:sz w:val="20"/>
          <w:szCs w:val="20"/>
        </w:rPr>
        <w:t xml:space="preserve"> (</w:t>
      </w:r>
      <w:r>
        <w:rPr>
          <w:rFonts w:ascii="AdvTimes-i" w:hAnsi="AdvTimes-i" w:cs="AdvTimes-i"/>
          <w:sz w:val="20"/>
          <w:szCs w:val="20"/>
        </w:rPr>
        <w:t>P</w:t>
      </w:r>
      <w:r>
        <w:rPr>
          <w:rFonts w:ascii="AdvTimes" w:hAnsi="AdvTimes" w:cs="AdvTimes"/>
          <w:sz w:val="20"/>
          <w:szCs w:val="20"/>
        </w:rPr>
        <w:t>&lt;0.05), and endurance time significantly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increased</w:t>
      </w:r>
      <w:proofErr w:type="gramEnd"/>
      <w:r>
        <w:rPr>
          <w:rFonts w:ascii="AdvTimes" w:hAnsi="AdvTimes" w:cs="AdvTimes"/>
          <w:sz w:val="20"/>
          <w:szCs w:val="20"/>
        </w:rPr>
        <w:t xml:space="preserve"> (</w:t>
      </w:r>
      <w:r>
        <w:rPr>
          <w:rFonts w:ascii="AdvTimes-i" w:hAnsi="AdvTimes-i" w:cs="AdvTimes-i"/>
          <w:sz w:val="20"/>
          <w:szCs w:val="20"/>
        </w:rPr>
        <w:t>P</w:t>
      </w:r>
      <w:r>
        <w:rPr>
          <w:rFonts w:ascii="AdvTimes" w:hAnsi="AdvTimes" w:cs="AdvTimes"/>
          <w:sz w:val="20"/>
          <w:szCs w:val="20"/>
        </w:rPr>
        <w:t>&lt;0.0005) following the 3 months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intervention</w:t>
      </w:r>
      <w:proofErr w:type="gramEnd"/>
      <w:r>
        <w:rPr>
          <w:rFonts w:ascii="AdvTimes" w:hAnsi="AdvTimes" w:cs="AdvTimes"/>
          <w:sz w:val="20"/>
          <w:szCs w:val="20"/>
        </w:rPr>
        <w:t xml:space="preserve">. Obese children who continued the </w:t>
      </w:r>
      <w:proofErr w:type="spellStart"/>
      <w:r>
        <w:rPr>
          <w:rFonts w:ascii="AdvTimes" w:hAnsi="AdvTimes" w:cs="AdvTimes"/>
          <w:sz w:val="20"/>
          <w:szCs w:val="20"/>
        </w:rPr>
        <w:t>programme</w:t>
      </w:r>
      <w:proofErr w:type="spellEnd"/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for</w:t>
      </w:r>
      <w:proofErr w:type="gramEnd"/>
      <w:r>
        <w:rPr>
          <w:rFonts w:ascii="AdvTimes" w:hAnsi="AdvTimes" w:cs="AdvTimes"/>
          <w:sz w:val="20"/>
          <w:szCs w:val="20"/>
        </w:rPr>
        <w:t xml:space="preserve"> 6 months maintained the decrease in BMI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and</w:t>
      </w:r>
      <w:proofErr w:type="gramEnd"/>
      <w:r>
        <w:rPr>
          <w:rFonts w:ascii="AdvTimes" w:hAnsi="AdvTimes" w:cs="AdvTimes"/>
          <w:sz w:val="20"/>
          <w:szCs w:val="20"/>
        </w:rPr>
        <w:t xml:space="preserve"> further improved endurance time. In contrast, obese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children</w:t>
      </w:r>
      <w:proofErr w:type="gramEnd"/>
      <w:r>
        <w:rPr>
          <w:rFonts w:ascii="AdvTimes" w:hAnsi="AdvTimes" w:cs="AdvTimes"/>
          <w:sz w:val="20"/>
          <w:szCs w:val="20"/>
        </w:rPr>
        <w:t xml:space="preserve"> who did not participate in the structured </w:t>
      </w:r>
      <w:proofErr w:type="spellStart"/>
      <w:r>
        <w:rPr>
          <w:rFonts w:ascii="AdvTimes" w:hAnsi="AdvTimes" w:cs="AdvTimes"/>
          <w:sz w:val="20"/>
          <w:szCs w:val="20"/>
        </w:rPr>
        <w:t>programme</w:t>
      </w:r>
      <w:proofErr w:type="spellEnd"/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gained</w:t>
      </w:r>
      <w:proofErr w:type="gramEnd"/>
      <w:r>
        <w:rPr>
          <w:rFonts w:ascii="AdvTimes" w:hAnsi="AdvTimes" w:cs="AdvTimes"/>
          <w:sz w:val="20"/>
          <w:szCs w:val="20"/>
        </w:rPr>
        <w:t xml:space="preserve"> weight, increased their BMI, and improved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fitness</w:t>
      </w:r>
      <w:proofErr w:type="gramEnd"/>
      <w:r>
        <w:rPr>
          <w:rFonts w:ascii="AdvTimes" w:hAnsi="AdvTimes" w:cs="AdvTimes"/>
          <w:sz w:val="20"/>
          <w:szCs w:val="20"/>
        </w:rPr>
        <w:t xml:space="preserve"> less significantly. Gender, pubertal status,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and</w:t>
      </w:r>
      <w:proofErr w:type="gramEnd"/>
      <w:r>
        <w:rPr>
          <w:rFonts w:ascii="AdvTimes" w:hAnsi="AdvTimes" w:cs="AdvTimes"/>
          <w:sz w:val="20"/>
          <w:szCs w:val="20"/>
        </w:rPr>
        <w:t xml:space="preserve"> the degree of obesity had no influence on BMI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changes</w:t>
      </w:r>
      <w:proofErr w:type="gramEnd"/>
      <w:r>
        <w:rPr>
          <w:rFonts w:ascii="AdvTimes" w:hAnsi="AdvTimes" w:cs="AdvTimes"/>
          <w:sz w:val="20"/>
          <w:szCs w:val="20"/>
        </w:rPr>
        <w:t>. Children without parental overweight had significantly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greater</w:t>
      </w:r>
      <w:proofErr w:type="gramEnd"/>
      <w:r>
        <w:rPr>
          <w:rFonts w:ascii="AdvTimes" w:hAnsi="AdvTimes" w:cs="AdvTimes"/>
          <w:sz w:val="20"/>
          <w:szCs w:val="20"/>
        </w:rPr>
        <w:t xml:space="preserve"> decreases in BMI compared to children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of</w:t>
      </w:r>
      <w:proofErr w:type="gramEnd"/>
      <w:r>
        <w:rPr>
          <w:rFonts w:ascii="AdvTimes" w:hAnsi="AdvTimes" w:cs="AdvTimes"/>
          <w:sz w:val="20"/>
          <w:szCs w:val="20"/>
        </w:rPr>
        <w:t xml:space="preserve"> obese parents. </w:t>
      </w:r>
      <w:r>
        <w:rPr>
          <w:rFonts w:ascii="AdvTimes-i" w:hAnsi="AdvTimes-i" w:cs="AdvTimes-i"/>
          <w:sz w:val="20"/>
          <w:szCs w:val="20"/>
        </w:rPr>
        <w:t xml:space="preserve">Conclusion: </w:t>
      </w:r>
      <w:r>
        <w:rPr>
          <w:rFonts w:ascii="AdvTimes" w:hAnsi="AdvTimes" w:cs="AdvTimes"/>
          <w:sz w:val="20"/>
          <w:szCs w:val="20"/>
        </w:rPr>
        <w:t>a combined, structured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multidisciplinary</w:t>
      </w:r>
      <w:proofErr w:type="gramEnd"/>
      <w:r>
        <w:rPr>
          <w:rFonts w:ascii="AdvTimes" w:hAnsi="AdvTimes" w:cs="AdvTimes"/>
          <w:sz w:val="20"/>
          <w:szCs w:val="20"/>
        </w:rPr>
        <w:t xml:space="preserve"> intervention for childhood obesity results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in</w:t>
      </w:r>
      <w:proofErr w:type="gramEnd"/>
      <w:r>
        <w:rPr>
          <w:rFonts w:ascii="AdvTimes" w:hAnsi="AdvTimes" w:cs="AdvTimes"/>
          <w:sz w:val="20"/>
          <w:szCs w:val="20"/>
        </w:rPr>
        <w:t xml:space="preserve"> decreased body weight, decreased body mass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index</w:t>
      </w:r>
      <w:proofErr w:type="gramEnd"/>
      <w:r>
        <w:rPr>
          <w:rFonts w:ascii="AdvTimes" w:hAnsi="AdvTimes" w:cs="AdvTimes"/>
          <w:sz w:val="20"/>
          <w:szCs w:val="20"/>
        </w:rPr>
        <w:t xml:space="preserve"> and improved fitness.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r>
        <w:rPr>
          <w:rFonts w:ascii="AdvTimes-b" w:hAnsi="AdvTimes-b" w:cs="AdvTimes-b"/>
          <w:sz w:val="20"/>
          <w:szCs w:val="20"/>
        </w:rPr>
        <w:t xml:space="preserve">Keywords </w:t>
      </w:r>
      <w:r>
        <w:rPr>
          <w:rFonts w:ascii="AdvTimes" w:hAnsi="AdvTimes" w:cs="AdvTimes"/>
          <w:sz w:val="20"/>
          <w:szCs w:val="20"/>
        </w:rPr>
        <w:t xml:space="preserve">Childhood </w:t>
      </w:r>
      <w:r>
        <w:rPr>
          <w:rFonts w:ascii="AdvPSMP1" w:hAnsi="AdvPSMP1" w:cs="AdvPSMP1"/>
          <w:sz w:val="20"/>
          <w:szCs w:val="20"/>
        </w:rPr>
        <w:t xml:space="preserve">Æ </w:t>
      </w:r>
      <w:r>
        <w:rPr>
          <w:rFonts w:ascii="AdvTimes" w:hAnsi="AdvTimes" w:cs="AdvTimes"/>
          <w:sz w:val="20"/>
          <w:szCs w:val="20"/>
        </w:rPr>
        <w:t xml:space="preserve">Exercise </w:t>
      </w:r>
      <w:r>
        <w:rPr>
          <w:rFonts w:ascii="AdvPSMP1" w:hAnsi="AdvPSMP1" w:cs="AdvPSMP1"/>
          <w:sz w:val="20"/>
          <w:szCs w:val="20"/>
        </w:rPr>
        <w:t xml:space="preserve">Æ </w:t>
      </w:r>
      <w:r>
        <w:rPr>
          <w:rFonts w:ascii="AdvTimes" w:hAnsi="AdvTimes" w:cs="AdvTimes"/>
          <w:sz w:val="20"/>
          <w:szCs w:val="20"/>
        </w:rPr>
        <w:t>Obesity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r>
        <w:rPr>
          <w:rFonts w:ascii="AdvTimes-b" w:hAnsi="AdvTimes-b" w:cs="AdvTimes-b"/>
          <w:sz w:val="20"/>
          <w:szCs w:val="20"/>
        </w:rPr>
        <w:t xml:space="preserve">Abbreviation </w:t>
      </w:r>
      <w:r>
        <w:rPr>
          <w:rFonts w:ascii="AdvTimes-i" w:hAnsi="AdvTimes-i" w:cs="AdvTimes-i"/>
          <w:sz w:val="20"/>
          <w:szCs w:val="20"/>
        </w:rPr>
        <w:t xml:space="preserve">BMI </w:t>
      </w:r>
      <w:r>
        <w:rPr>
          <w:rFonts w:ascii="AdvTimes" w:hAnsi="AdvTimes" w:cs="AdvTimes"/>
          <w:sz w:val="20"/>
          <w:szCs w:val="20"/>
        </w:rPr>
        <w:t>body mass index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SFGC" w:hAnsi="AdvPSFGC" w:cs="AdvPSFGC"/>
          <w:sz w:val="21"/>
          <w:szCs w:val="21"/>
        </w:rPr>
      </w:pPr>
      <w:r>
        <w:rPr>
          <w:rFonts w:ascii="AdvPSFGC" w:hAnsi="AdvPSFGC" w:cs="AdvPSFGC"/>
          <w:sz w:val="21"/>
          <w:szCs w:val="21"/>
        </w:rPr>
        <w:t>Introduction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r>
        <w:rPr>
          <w:rFonts w:ascii="AdvTimes" w:hAnsi="AdvTimes" w:cs="AdvTimes"/>
          <w:sz w:val="20"/>
          <w:szCs w:val="20"/>
        </w:rPr>
        <w:t>Despite major efforts to promote weight reduction, the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prevalence</w:t>
      </w:r>
      <w:proofErr w:type="gramEnd"/>
      <w:r>
        <w:rPr>
          <w:rFonts w:ascii="AdvTimes" w:hAnsi="AdvTimes" w:cs="AdvTimes"/>
          <w:sz w:val="20"/>
          <w:szCs w:val="20"/>
        </w:rPr>
        <w:t xml:space="preserve"> of childhood obesity is increasing worldwide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in</w:t>
      </w:r>
      <w:proofErr w:type="gramEnd"/>
      <w:r>
        <w:rPr>
          <w:rFonts w:ascii="AdvTimes" w:hAnsi="AdvTimes" w:cs="AdvTimes"/>
          <w:sz w:val="20"/>
          <w:szCs w:val="20"/>
        </w:rPr>
        <w:t xml:space="preserve"> epidemic proportions and affects 20%–27% of all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children</w:t>
      </w:r>
      <w:proofErr w:type="gramEnd"/>
      <w:r>
        <w:rPr>
          <w:rFonts w:ascii="AdvTimes" w:hAnsi="AdvTimes" w:cs="AdvTimes"/>
          <w:sz w:val="20"/>
          <w:szCs w:val="20"/>
        </w:rPr>
        <w:t xml:space="preserve"> [17]. The mechanisms responsible for the increase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in</w:t>
      </w:r>
      <w:proofErr w:type="gramEnd"/>
      <w:r>
        <w:rPr>
          <w:rFonts w:ascii="AdvTimes" w:hAnsi="AdvTimes" w:cs="AdvTimes"/>
          <w:sz w:val="20"/>
          <w:szCs w:val="20"/>
        </w:rPr>
        <w:t xml:space="preserve"> childhood obesity in the last two decades are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not</w:t>
      </w:r>
      <w:proofErr w:type="gramEnd"/>
      <w:r>
        <w:rPr>
          <w:rFonts w:ascii="AdvTimes" w:hAnsi="AdvTimes" w:cs="AdvTimes"/>
          <w:sz w:val="20"/>
          <w:szCs w:val="20"/>
        </w:rPr>
        <w:t xml:space="preserve"> completely understood. However, weight gain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clearly</w:t>
      </w:r>
      <w:proofErr w:type="gramEnd"/>
      <w:r>
        <w:rPr>
          <w:rFonts w:ascii="AdvTimes" w:hAnsi="AdvTimes" w:cs="AdvTimes"/>
          <w:sz w:val="20"/>
          <w:szCs w:val="20"/>
        </w:rPr>
        <w:t xml:space="preserve"> results from an imbalance between energy intake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and</w:t>
      </w:r>
      <w:proofErr w:type="gramEnd"/>
      <w:r>
        <w:rPr>
          <w:rFonts w:ascii="AdvTimes" w:hAnsi="AdvTimes" w:cs="AdvTimes"/>
          <w:sz w:val="20"/>
          <w:szCs w:val="20"/>
        </w:rPr>
        <w:t xml:space="preserve"> energy expenditure. Therefore, overeating, increased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caloric</w:t>
      </w:r>
      <w:proofErr w:type="gramEnd"/>
      <w:r>
        <w:rPr>
          <w:rFonts w:ascii="AdvTimes" w:hAnsi="AdvTimes" w:cs="AdvTimes"/>
          <w:sz w:val="20"/>
          <w:szCs w:val="20"/>
        </w:rPr>
        <w:t xml:space="preserve"> intake, increased inactivity and sedentary lifestyle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r>
        <w:rPr>
          <w:rFonts w:ascii="AdvTimes" w:hAnsi="AdvTimes" w:cs="AdvTimes"/>
          <w:sz w:val="20"/>
          <w:szCs w:val="20"/>
        </w:rPr>
        <w:t>(</w:t>
      </w:r>
      <w:proofErr w:type="gramStart"/>
      <w:r>
        <w:rPr>
          <w:rFonts w:ascii="AdvTimes" w:hAnsi="AdvTimes" w:cs="AdvTimes"/>
          <w:sz w:val="20"/>
          <w:szCs w:val="20"/>
        </w:rPr>
        <w:t>e.g</w:t>
      </w:r>
      <w:proofErr w:type="gramEnd"/>
      <w:r>
        <w:rPr>
          <w:rFonts w:ascii="AdvTimes" w:hAnsi="AdvTimes" w:cs="AdvTimes"/>
          <w:sz w:val="20"/>
          <w:szCs w:val="20"/>
        </w:rPr>
        <w:t>. television viewing, computer games) probably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play</w:t>
      </w:r>
      <w:proofErr w:type="gramEnd"/>
      <w:r>
        <w:rPr>
          <w:rFonts w:ascii="AdvTimes" w:hAnsi="AdvTimes" w:cs="AdvTimes"/>
          <w:sz w:val="20"/>
          <w:szCs w:val="20"/>
        </w:rPr>
        <w:t xml:space="preserve"> a major role [10, 18].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r>
        <w:rPr>
          <w:rFonts w:ascii="AdvTimes" w:hAnsi="AdvTimes" w:cs="AdvTimes"/>
          <w:sz w:val="20"/>
          <w:szCs w:val="20"/>
        </w:rPr>
        <w:t>Long-term follow-up indicates that obese children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and</w:t>
      </w:r>
      <w:proofErr w:type="gramEnd"/>
      <w:r>
        <w:rPr>
          <w:rFonts w:ascii="AdvTimes" w:hAnsi="AdvTimes" w:cs="AdvTimes"/>
          <w:sz w:val="20"/>
          <w:szCs w:val="20"/>
        </w:rPr>
        <w:t xml:space="preserve"> adolescents tend to become obese adults [17].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r>
        <w:rPr>
          <w:rFonts w:ascii="AdvTimes" w:hAnsi="AdvTimes" w:cs="AdvTimes"/>
          <w:sz w:val="20"/>
          <w:szCs w:val="20"/>
        </w:rPr>
        <w:lastRenderedPageBreak/>
        <w:t>Moreover, obesity is associated with increased risk of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insulin</w:t>
      </w:r>
      <w:proofErr w:type="gramEnd"/>
      <w:r>
        <w:rPr>
          <w:rFonts w:ascii="AdvTimes" w:hAnsi="AdvTimes" w:cs="AdvTimes"/>
          <w:sz w:val="20"/>
          <w:szCs w:val="20"/>
        </w:rPr>
        <w:t xml:space="preserve"> resistance and diabetes, hypertension, </w:t>
      </w:r>
      <w:proofErr w:type="spellStart"/>
      <w:r>
        <w:rPr>
          <w:rFonts w:ascii="AdvTimes" w:hAnsi="AdvTimes" w:cs="AdvTimes"/>
          <w:sz w:val="20"/>
          <w:szCs w:val="20"/>
        </w:rPr>
        <w:t>hyperlipidaemia</w:t>
      </w:r>
      <w:proofErr w:type="spellEnd"/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and</w:t>
      </w:r>
      <w:proofErr w:type="gramEnd"/>
      <w:r>
        <w:rPr>
          <w:rFonts w:ascii="AdvTimes" w:hAnsi="AdvTimes" w:cs="AdvTimes"/>
          <w:sz w:val="20"/>
          <w:szCs w:val="20"/>
        </w:rPr>
        <w:t xml:space="preserve"> atherosclerosis, as well as gallbladder, endocrine,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spellStart"/>
      <w:proofErr w:type="gramStart"/>
      <w:r>
        <w:rPr>
          <w:rFonts w:ascii="AdvTimes" w:hAnsi="AdvTimes" w:cs="AdvTimes"/>
          <w:sz w:val="20"/>
          <w:szCs w:val="20"/>
        </w:rPr>
        <w:t>orthopaedic</w:t>
      </w:r>
      <w:proofErr w:type="spellEnd"/>
      <w:proofErr w:type="gramEnd"/>
      <w:r>
        <w:rPr>
          <w:rFonts w:ascii="AdvTimes" w:hAnsi="AdvTimes" w:cs="AdvTimes"/>
          <w:sz w:val="20"/>
          <w:szCs w:val="20"/>
        </w:rPr>
        <w:t xml:space="preserve"> and respiratory morbidity and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mortality</w:t>
      </w:r>
      <w:proofErr w:type="gramEnd"/>
      <w:r>
        <w:rPr>
          <w:rFonts w:ascii="AdvTimes" w:hAnsi="AdvTimes" w:cs="AdvTimes"/>
          <w:sz w:val="20"/>
          <w:szCs w:val="20"/>
        </w:rPr>
        <w:t xml:space="preserve"> [2, 11, 12]. In addition, adults who were obese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children</w:t>
      </w:r>
      <w:proofErr w:type="gramEnd"/>
      <w:r>
        <w:rPr>
          <w:rFonts w:ascii="AdvTimes" w:hAnsi="AdvTimes" w:cs="AdvTimes"/>
          <w:sz w:val="20"/>
          <w:szCs w:val="20"/>
        </w:rPr>
        <w:t xml:space="preserve"> have increased morbidity and mortality independent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of</w:t>
      </w:r>
      <w:proofErr w:type="gramEnd"/>
      <w:r>
        <w:rPr>
          <w:rFonts w:ascii="AdvTimes" w:hAnsi="AdvTimes" w:cs="AdvTimes"/>
          <w:sz w:val="20"/>
          <w:szCs w:val="20"/>
        </w:rPr>
        <w:t xml:space="preserve"> their adult weight [13]. Thus, effective treatment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and</w:t>
      </w:r>
      <w:proofErr w:type="gramEnd"/>
      <w:r>
        <w:rPr>
          <w:rFonts w:ascii="AdvTimes" w:hAnsi="AdvTimes" w:cs="AdvTimes"/>
          <w:sz w:val="20"/>
          <w:szCs w:val="20"/>
        </w:rPr>
        <w:t xml:space="preserve"> prevention of obesity must start during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childhood</w:t>
      </w:r>
      <w:proofErr w:type="gramEnd"/>
      <w:r>
        <w:rPr>
          <w:rFonts w:ascii="AdvTimes" w:hAnsi="AdvTimes" w:cs="AdvTimes"/>
          <w:sz w:val="20"/>
          <w:szCs w:val="20"/>
        </w:rPr>
        <w:t>. Surprisingly, treatment is initiated in less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than</w:t>
      </w:r>
      <w:proofErr w:type="gramEnd"/>
      <w:r>
        <w:rPr>
          <w:rFonts w:ascii="AdvTimes" w:hAnsi="AdvTimes" w:cs="AdvTimes"/>
          <w:sz w:val="20"/>
          <w:szCs w:val="20"/>
        </w:rPr>
        <w:t xml:space="preserve"> 20% of obese children [3] and relatively few intervention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spellStart"/>
      <w:proofErr w:type="gramStart"/>
      <w:r>
        <w:rPr>
          <w:rFonts w:ascii="AdvTimes" w:hAnsi="AdvTimes" w:cs="AdvTimes"/>
          <w:sz w:val="20"/>
          <w:szCs w:val="20"/>
        </w:rPr>
        <w:t>programmes</w:t>
      </w:r>
      <w:proofErr w:type="spellEnd"/>
      <w:proofErr w:type="gramEnd"/>
      <w:r>
        <w:rPr>
          <w:rFonts w:ascii="AdvTimes" w:hAnsi="AdvTimes" w:cs="AdvTimes"/>
          <w:sz w:val="20"/>
          <w:szCs w:val="20"/>
        </w:rPr>
        <w:t xml:space="preserve"> are available for obese children and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adolescents</w:t>
      </w:r>
      <w:proofErr w:type="gramEnd"/>
      <w:r>
        <w:rPr>
          <w:rFonts w:ascii="AdvTimes" w:hAnsi="AdvTimes" w:cs="AdvTimes"/>
          <w:sz w:val="20"/>
          <w:szCs w:val="20"/>
        </w:rPr>
        <w:t>. Most of these interventions are based on the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experience</w:t>
      </w:r>
      <w:proofErr w:type="gramEnd"/>
      <w:r>
        <w:rPr>
          <w:rFonts w:ascii="AdvTimes" w:hAnsi="AdvTimes" w:cs="AdvTimes"/>
          <w:sz w:val="20"/>
          <w:szCs w:val="20"/>
        </w:rPr>
        <w:t xml:space="preserve"> gained from the treatment of adult obesity,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despite</w:t>
      </w:r>
      <w:proofErr w:type="gramEnd"/>
      <w:r>
        <w:rPr>
          <w:rFonts w:ascii="AdvTimes" w:hAnsi="AdvTimes" w:cs="AdvTimes"/>
          <w:sz w:val="20"/>
          <w:szCs w:val="20"/>
        </w:rPr>
        <w:t xml:space="preserve"> the different treatment goals in treating childhood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obesity</w:t>
      </w:r>
      <w:proofErr w:type="gramEnd"/>
      <w:r>
        <w:rPr>
          <w:rFonts w:ascii="AdvTimes" w:hAnsi="AdvTimes" w:cs="AdvTimes"/>
          <w:sz w:val="20"/>
          <w:szCs w:val="20"/>
        </w:rPr>
        <w:t xml:space="preserve"> [1].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r>
        <w:rPr>
          <w:rFonts w:ascii="AdvTimes" w:hAnsi="AdvTimes" w:cs="AdvTimes"/>
          <w:sz w:val="20"/>
          <w:szCs w:val="20"/>
        </w:rPr>
        <w:t>Israel, like many other countries throughout the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world</w:t>
      </w:r>
      <w:proofErr w:type="gramEnd"/>
      <w:r>
        <w:rPr>
          <w:rFonts w:ascii="AdvTimes" w:hAnsi="AdvTimes" w:cs="AdvTimes"/>
          <w:sz w:val="20"/>
          <w:szCs w:val="20"/>
        </w:rPr>
        <w:t>, faces an alarming increase in the number of obese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children</w:t>
      </w:r>
      <w:proofErr w:type="gramEnd"/>
      <w:r>
        <w:rPr>
          <w:rFonts w:ascii="AdvTimes" w:hAnsi="AdvTimes" w:cs="AdvTimes"/>
          <w:sz w:val="20"/>
          <w:szCs w:val="20"/>
        </w:rPr>
        <w:t xml:space="preserve"> and adolescents. In Israel, very few treatment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spellStart"/>
      <w:proofErr w:type="gramStart"/>
      <w:r>
        <w:rPr>
          <w:rFonts w:ascii="AdvTimes" w:hAnsi="AdvTimes" w:cs="AdvTimes"/>
          <w:sz w:val="20"/>
          <w:szCs w:val="20"/>
        </w:rPr>
        <w:t>programmes</w:t>
      </w:r>
      <w:proofErr w:type="spellEnd"/>
      <w:proofErr w:type="gramEnd"/>
      <w:r>
        <w:rPr>
          <w:rFonts w:ascii="AdvTimes" w:hAnsi="AdvTimes" w:cs="AdvTimes"/>
          <w:sz w:val="20"/>
          <w:szCs w:val="20"/>
        </w:rPr>
        <w:t xml:space="preserve"> for childhood obesity exist. These </w:t>
      </w:r>
      <w:proofErr w:type="spellStart"/>
      <w:r>
        <w:rPr>
          <w:rFonts w:ascii="AdvTimes" w:hAnsi="AdvTimes" w:cs="AdvTimes"/>
          <w:sz w:val="20"/>
          <w:szCs w:val="20"/>
        </w:rPr>
        <w:t>programmes</w:t>
      </w:r>
      <w:proofErr w:type="spellEnd"/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focus</w:t>
      </w:r>
      <w:proofErr w:type="gramEnd"/>
      <w:r>
        <w:rPr>
          <w:rFonts w:ascii="AdvTimes" w:hAnsi="AdvTimes" w:cs="AdvTimes"/>
          <w:sz w:val="20"/>
          <w:szCs w:val="20"/>
        </w:rPr>
        <w:t xml:space="preserve"> on dietary control or </w:t>
      </w:r>
      <w:proofErr w:type="spellStart"/>
      <w:r>
        <w:rPr>
          <w:rFonts w:ascii="AdvTimes" w:hAnsi="AdvTimes" w:cs="AdvTimes"/>
          <w:sz w:val="20"/>
          <w:szCs w:val="20"/>
        </w:rPr>
        <w:t>behavioural</w:t>
      </w:r>
      <w:proofErr w:type="spellEnd"/>
      <w:r>
        <w:rPr>
          <w:rFonts w:ascii="AdvTimes" w:hAnsi="AdvTimes" w:cs="AdvTimes"/>
          <w:sz w:val="20"/>
          <w:szCs w:val="20"/>
        </w:rPr>
        <w:t xml:space="preserve"> modifications,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  <w:proofErr w:type="gramStart"/>
      <w:r>
        <w:rPr>
          <w:rFonts w:ascii="AdvTimes" w:hAnsi="AdvTimes" w:cs="AdvTimes"/>
          <w:sz w:val="20"/>
          <w:szCs w:val="20"/>
        </w:rPr>
        <w:t>and</w:t>
      </w:r>
      <w:proofErr w:type="gramEnd"/>
      <w:r>
        <w:rPr>
          <w:rFonts w:ascii="AdvTimes" w:hAnsi="AdvTimes" w:cs="AdvTimes"/>
          <w:sz w:val="20"/>
          <w:szCs w:val="20"/>
        </w:rPr>
        <w:t xml:space="preserve"> none focus on exercise. A successful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proofErr w:type="spellStart"/>
      <w:r>
        <w:rPr>
          <w:rFonts w:ascii="AdvTimes" w:hAnsi="AdvTimes" w:cs="AdvTimes"/>
          <w:sz w:val="17"/>
          <w:szCs w:val="17"/>
        </w:rPr>
        <w:t>Eur</w:t>
      </w:r>
      <w:proofErr w:type="spellEnd"/>
      <w:r>
        <w:rPr>
          <w:rFonts w:ascii="AdvTimes" w:hAnsi="AdvTimes" w:cs="AdvTimes"/>
          <w:sz w:val="17"/>
          <w:szCs w:val="17"/>
        </w:rPr>
        <w:t xml:space="preserve"> J </w:t>
      </w:r>
      <w:proofErr w:type="spellStart"/>
      <w:r>
        <w:rPr>
          <w:rFonts w:ascii="AdvTimes" w:hAnsi="AdvTimes" w:cs="AdvTimes"/>
          <w:sz w:val="17"/>
          <w:szCs w:val="17"/>
        </w:rPr>
        <w:t>Pediatr</w:t>
      </w:r>
      <w:proofErr w:type="spellEnd"/>
      <w:r>
        <w:rPr>
          <w:rFonts w:ascii="AdvTimes" w:hAnsi="AdvTimes" w:cs="AdvTimes"/>
          <w:sz w:val="17"/>
          <w:szCs w:val="17"/>
        </w:rPr>
        <w:t xml:space="preserve"> (2002) 161: 449–454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>DOI 10.1007/s00431-002-0980-2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 xml:space="preserve">A. </w:t>
      </w:r>
      <w:proofErr w:type="spellStart"/>
      <w:r>
        <w:rPr>
          <w:rFonts w:ascii="AdvTimes" w:hAnsi="AdvTimes" w:cs="AdvTimes"/>
          <w:sz w:val="17"/>
          <w:szCs w:val="17"/>
        </w:rPr>
        <w:t>Eliakim</w:t>
      </w:r>
      <w:proofErr w:type="spellEnd"/>
      <w:r>
        <w:rPr>
          <w:rFonts w:ascii="AdvTimes" w:hAnsi="AdvTimes" w:cs="AdvTimes"/>
          <w:sz w:val="17"/>
          <w:szCs w:val="17"/>
        </w:rPr>
        <w:t xml:space="preserve"> (</w:t>
      </w:r>
      <w:r>
        <w:rPr>
          <w:rFonts w:ascii="AdvPSSPS-AS" w:hAnsi="AdvPSSPS-AS" w:cs="AdvPSSPS-AS"/>
          <w:sz w:val="17"/>
          <w:szCs w:val="17"/>
        </w:rPr>
        <w:t>&amp;</w:t>
      </w:r>
      <w:r>
        <w:rPr>
          <w:rFonts w:ascii="AdvTimes" w:hAnsi="AdvTimes" w:cs="AdvTimes"/>
          <w:sz w:val="17"/>
          <w:szCs w:val="17"/>
        </w:rPr>
        <w:t xml:space="preserve">) </w:t>
      </w:r>
      <w:r>
        <w:rPr>
          <w:rFonts w:ascii="AdvPSMP1" w:hAnsi="AdvPSMP1" w:cs="AdvPSMP1"/>
          <w:sz w:val="17"/>
          <w:szCs w:val="17"/>
        </w:rPr>
        <w:t xml:space="preserve">Æ </w:t>
      </w:r>
      <w:r>
        <w:rPr>
          <w:rFonts w:ascii="AdvTimes" w:hAnsi="AdvTimes" w:cs="AdvTimes"/>
          <w:sz w:val="17"/>
          <w:szCs w:val="17"/>
        </w:rPr>
        <w:t xml:space="preserve">G. </w:t>
      </w:r>
      <w:proofErr w:type="spellStart"/>
      <w:r>
        <w:rPr>
          <w:rFonts w:ascii="AdvTimes" w:hAnsi="AdvTimes" w:cs="AdvTimes"/>
          <w:sz w:val="17"/>
          <w:szCs w:val="17"/>
        </w:rPr>
        <w:t>Kaven</w:t>
      </w:r>
      <w:proofErr w:type="spellEnd"/>
      <w:r>
        <w:rPr>
          <w:rFonts w:ascii="AdvTimes" w:hAnsi="AdvTimes" w:cs="AdvTimes"/>
          <w:sz w:val="17"/>
          <w:szCs w:val="17"/>
        </w:rPr>
        <w:t xml:space="preserve"> </w:t>
      </w:r>
      <w:r>
        <w:rPr>
          <w:rFonts w:ascii="AdvPSMP1" w:hAnsi="AdvPSMP1" w:cs="AdvPSMP1"/>
          <w:sz w:val="17"/>
          <w:szCs w:val="17"/>
        </w:rPr>
        <w:t xml:space="preserve">Æ </w:t>
      </w:r>
      <w:r>
        <w:rPr>
          <w:rFonts w:ascii="AdvTimes" w:hAnsi="AdvTimes" w:cs="AdvTimes"/>
          <w:sz w:val="17"/>
          <w:szCs w:val="17"/>
        </w:rPr>
        <w:t xml:space="preserve">I. Berger </w:t>
      </w:r>
      <w:r>
        <w:rPr>
          <w:rFonts w:ascii="AdvPSMP1" w:hAnsi="AdvPSMP1" w:cs="AdvPSMP1"/>
          <w:sz w:val="17"/>
          <w:szCs w:val="17"/>
        </w:rPr>
        <w:t xml:space="preserve">Æ </w:t>
      </w:r>
      <w:r>
        <w:rPr>
          <w:rFonts w:ascii="AdvTimes" w:hAnsi="AdvTimes" w:cs="AdvTimes"/>
          <w:sz w:val="17"/>
          <w:szCs w:val="17"/>
        </w:rPr>
        <w:t xml:space="preserve">O. </w:t>
      </w:r>
      <w:proofErr w:type="spellStart"/>
      <w:r>
        <w:rPr>
          <w:rFonts w:ascii="AdvTimes" w:hAnsi="AdvTimes" w:cs="AdvTimes"/>
          <w:sz w:val="17"/>
          <w:szCs w:val="17"/>
        </w:rPr>
        <w:t>Friedland</w:t>
      </w:r>
      <w:proofErr w:type="spellEnd"/>
      <w:r>
        <w:rPr>
          <w:rFonts w:ascii="AdvTimes" w:hAnsi="AdvTimes" w:cs="AdvTimes"/>
          <w:sz w:val="17"/>
          <w:szCs w:val="17"/>
        </w:rPr>
        <w:t xml:space="preserve"> </w:t>
      </w:r>
      <w:r>
        <w:rPr>
          <w:rFonts w:ascii="AdvPSMP1" w:hAnsi="AdvPSMP1" w:cs="AdvPSMP1"/>
          <w:sz w:val="17"/>
          <w:szCs w:val="17"/>
        </w:rPr>
        <w:t xml:space="preserve">Æ </w:t>
      </w:r>
      <w:r>
        <w:rPr>
          <w:rFonts w:ascii="AdvTimes" w:hAnsi="AdvTimes" w:cs="AdvTimes"/>
          <w:sz w:val="17"/>
          <w:szCs w:val="17"/>
        </w:rPr>
        <w:t xml:space="preserve">B. </w:t>
      </w:r>
      <w:proofErr w:type="spellStart"/>
      <w:r>
        <w:rPr>
          <w:rFonts w:ascii="AdvTimes" w:hAnsi="AdvTimes" w:cs="AdvTimes"/>
          <w:sz w:val="17"/>
          <w:szCs w:val="17"/>
        </w:rPr>
        <w:t>Wolach</w:t>
      </w:r>
      <w:proofErr w:type="spellEnd"/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 xml:space="preserve">D. </w:t>
      </w:r>
      <w:proofErr w:type="spellStart"/>
      <w:r>
        <w:rPr>
          <w:rFonts w:ascii="AdvTimes" w:hAnsi="AdvTimes" w:cs="AdvTimes"/>
          <w:sz w:val="17"/>
          <w:szCs w:val="17"/>
        </w:rPr>
        <w:t>Nemet</w:t>
      </w:r>
      <w:proofErr w:type="spellEnd"/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 xml:space="preserve">Department of </w:t>
      </w:r>
      <w:proofErr w:type="spellStart"/>
      <w:r>
        <w:rPr>
          <w:rFonts w:ascii="AdvTimes" w:hAnsi="AdvTimes" w:cs="AdvTimes"/>
          <w:sz w:val="17"/>
          <w:szCs w:val="17"/>
        </w:rPr>
        <w:t>Paediatrics</w:t>
      </w:r>
      <w:proofErr w:type="spellEnd"/>
      <w:r>
        <w:rPr>
          <w:rFonts w:ascii="AdvTimes" w:hAnsi="AdvTimes" w:cs="AdvTimes"/>
          <w:sz w:val="17"/>
          <w:szCs w:val="17"/>
        </w:rPr>
        <w:t>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 xml:space="preserve">Meir General Hospital, 59 </w:t>
      </w:r>
      <w:proofErr w:type="spellStart"/>
      <w:r>
        <w:rPr>
          <w:rFonts w:ascii="AdvTimes" w:hAnsi="AdvTimes" w:cs="AdvTimes"/>
          <w:sz w:val="17"/>
          <w:szCs w:val="17"/>
        </w:rPr>
        <w:t>Tshernichovski</w:t>
      </w:r>
      <w:proofErr w:type="spellEnd"/>
      <w:r>
        <w:rPr>
          <w:rFonts w:ascii="AdvTimes" w:hAnsi="AdvTimes" w:cs="AdvTimes"/>
          <w:sz w:val="17"/>
          <w:szCs w:val="17"/>
        </w:rPr>
        <w:t xml:space="preserve"> Street,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proofErr w:type="spellStart"/>
      <w:r>
        <w:rPr>
          <w:rFonts w:ascii="AdvTimes" w:hAnsi="AdvTimes" w:cs="AdvTimes"/>
          <w:sz w:val="17"/>
          <w:szCs w:val="17"/>
        </w:rPr>
        <w:t>Kfar</w:t>
      </w:r>
      <w:proofErr w:type="spellEnd"/>
      <w:r>
        <w:rPr>
          <w:rFonts w:ascii="AdvTimes" w:hAnsi="AdvTimes" w:cs="AdvTimes"/>
          <w:sz w:val="17"/>
          <w:szCs w:val="17"/>
        </w:rPr>
        <w:t>-Saba 44281, Israel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>E-mail: eliakim@internet-zahav.net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>Tel.: +972-9-7472134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>Fax: +972-9-7425967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 xml:space="preserve">D. </w:t>
      </w:r>
      <w:proofErr w:type="spellStart"/>
      <w:r>
        <w:rPr>
          <w:rFonts w:ascii="AdvTimes" w:hAnsi="AdvTimes" w:cs="AdvTimes"/>
          <w:sz w:val="17"/>
          <w:szCs w:val="17"/>
        </w:rPr>
        <w:t>Nemet</w:t>
      </w:r>
      <w:proofErr w:type="spellEnd"/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>Center for the Study of Health Effects of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>Exercise in Children, Department of Pediatrics,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>University of California,</w:t>
      </w: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  <w:r>
        <w:rPr>
          <w:rFonts w:ascii="AdvTimes" w:hAnsi="AdvTimes" w:cs="AdvTimes"/>
          <w:sz w:val="17"/>
          <w:szCs w:val="17"/>
        </w:rPr>
        <w:t>Irvine, California, USA</w:t>
      </w: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rPr>
          <w:rFonts w:ascii="AdvTimes" w:hAnsi="AdvTimes" w:cs="AdvTimes"/>
          <w:sz w:val="17"/>
          <w:szCs w:val="17"/>
        </w:rPr>
      </w:pP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88" w:hAnsi="AdvP9788" w:cs="AdvP9788"/>
          <w:sz w:val="40"/>
          <w:szCs w:val="40"/>
        </w:rPr>
      </w:pPr>
      <w:r>
        <w:rPr>
          <w:rFonts w:ascii="AdvP9788" w:hAnsi="AdvP9788" w:cs="AdvP9788"/>
          <w:sz w:val="40"/>
          <w:szCs w:val="40"/>
        </w:rPr>
        <w:t>PAPER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88" w:hAnsi="AdvP9788" w:cs="AdvP9788"/>
          <w:sz w:val="40"/>
          <w:szCs w:val="40"/>
        </w:rPr>
      </w:pPr>
      <w:r>
        <w:rPr>
          <w:rFonts w:ascii="AdvP9788" w:hAnsi="AdvP9788" w:cs="AdvP9788"/>
          <w:sz w:val="40"/>
          <w:szCs w:val="40"/>
        </w:rPr>
        <w:t>Physical activity and determinants of physical activity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88" w:hAnsi="AdvP9788" w:cs="AdvP9788"/>
          <w:sz w:val="40"/>
          <w:szCs w:val="40"/>
        </w:rPr>
      </w:pPr>
      <w:proofErr w:type="gramStart"/>
      <w:r>
        <w:rPr>
          <w:rFonts w:ascii="AdvP9788" w:hAnsi="AdvP9788" w:cs="AdvP9788"/>
          <w:sz w:val="40"/>
          <w:szCs w:val="40"/>
        </w:rPr>
        <w:t>in</w:t>
      </w:r>
      <w:proofErr w:type="gramEnd"/>
      <w:r>
        <w:rPr>
          <w:rFonts w:ascii="AdvP9788" w:hAnsi="AdvP9788" w:cs="AdvP9788"/>
          <w:sz w:val="40"/>
          <w:szCs w:val="40"/>
        </w:rPr>
        <w:t xml:space="preserve"> obese and non-obese children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5"/>
          <w:szCs w:val="15"/>
        </w:rPr>
      </w:pPr>
      <w:r>
        <w:rPr>
          <w:rFonts w:ascii="AdvP9725" w:hAnsi="AdvP9725" w:cs="AdvP9725"/>
        </w:rPr>
        <w:t>SG Trost</w:t>
      </w:r>
      <w:r>
        <w:rPr>
          <w:rFonts w:ascii="AdvP9725" w:hAnsi="AdvP9725" w:cs="AdvP9725"/>
          <w:sz w:val="15"/>
          <w:szCs w:val="15"/>
        </w:rPr>
        <w:t>1</w:t>
      </w:r>
      <w:r>
        <w:rPr>
          <w:rFonts w:ascii="AdvP9725" w:hAnsi="AdvP9725" w:cs="AdvP9725"/>
        </w:rPr>
        <w:t>*, LM Kerr</w:t>
      </w:r>
      <w:r>
        <w:rPr>
          <w:rFonts w:ascii="AdvP9725" w:hAnsi="AdvP9725" w:cs="AdvP9725"/>
          <w:sz w:val="15"/>
          <w:szCs w:val="15"/>
        </w:rPr>
        <w:t>2</w:t>
      </w:r>
      <w:r>
        <w:rPr>
          <w:rFonts w:ascii="AdvP9725" w:hAnsi="AdvP9725" w:cs="AdvP9725"/>
        </w:rPr>
        <w:t>, DS Ward</w:t>
      </w:r>
      <w:r>
        <w:rPr>
          <w:rFonts w:ascii="AdvP9725" w:hAnsi="AdvP9725" w:cs="AdvP9725"/>
          <w:sz w:val="15"/>
          <w:szCs w:val="15"/>
        </w:rPr>
        <w:t xml:space="preserve">3 </w:t>
      </w:r>
      <w:r>
        <w:rPr>
          <w:rFonts w:ascii="AdvP9725" w:hAnsi="AdvP9725" w:cs="AdvP9725"/>
        </w:rPr>
        <w:t>and RR Pate</w:t>
      </w:r>
      <w:r>
        <w:rPr>
          <w:rFonts w:ascii="AdvP9725" w:hAnsi="AdvP9725" w:cs="AdvP9725"/>
          <w:sz w:val="15"/>
          <w:szCs w:val="15"/>
        </w:rPr>
        <w:t>2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94" w:hAnsi="AdvP9794" w:cs="AdvP9794"/>
          <w:sz w:val="18"/>
          <w:szCs w:val="18"/>
        </w:rPr>
      </w:pPr>
      <w:r>
        <w:rPr>
          <w:rFonts w:ascii="AdvP9725" w:hAnsi="AdvP9725" w:cs="AdvP9725"/>
          <w:sz w:val="12"/>
          <w:szCs w:val="12"/>
        </w:rPr>
        <w:t>1</w:t>
      </w:r>
      <w:r>
        <w:rPr>
          <w:rFonts w:ascii="AdvP9794" w:hAnsi="AdvP9794" w:cs="AdvP9794"/>
          <w:sz w:val="18"/>
          <w:szCs w:val="18"/>
        </w:rPr>
        <w:t xml:space="preserve">School of Human Movement Studies, </w:t>
      </w:r>
      <w:proofErr w:type="gramStart"/>
      <w:r>
        <w:rPr>
          <w:rFonts w:ascii="AdvP9794" w:hAnsi="AdvP9794" w:cs="AdvP9794"/>
          <w:sz w:val="18"/>
          <w:szCs w:val="18"/>
        </w:rPr>
        <w:t>The</w:t>
      </w:r>
      <w:proofErr w:type="gramEnd"/>
      <w:r>
        <w:rPr>
          <w:rFonts w:ascii="AdvP9794" w:hAnsi="AdvP9794" w:cs="AdvP9794"/>
          <w:sz w:val="18"/>
          <w:szCs w:val="18"/>
        </w:rPr>
        <w:t xml:space="preserve"> University of Queensland, Brisbane, Queensland, Australia; </w:t>
      </w:r>
      <w:r>
        <w:rPr>
          <w:rFonts w:ascii="AdvP9725" w:hAnsi="AdvP9725" w:cs="AdvP9725"/>
          <w:sz w:val="12"/>
          <w:szCs w:val="12"/>
        </w:rPr>
        <w:t>2</w:t>
      </w:r>
      <w:r>
        <w:rPr>
          <w:rFonts w:ascii="AdvP9794" w:hAnsi="AdvP9794" w:cs="AdvP9794"/>
          <w:sz w:val="18"/>
          <w:szCs w:val="18"/>
        </w:rPr>
        <w:t>Department of Exercise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94" w:hAnsi="AdvP9794" w:cs="AdvP9794"/>
          <w:sz w:val="18"/>
          <w:szCs w:val="18"/>
        </w:rPr>
      </w:pPr>
      <w:r>
        <w:rPr>
          <w:rFonts w:ascii="AdvP9794" w:hAnsi="AdvP9794" w:cs="AdvP9794"/>
          <w:sz w:val="18"/>
          <w:szCs w:val="18"/>
        </w:rPr>
        <w:t xml:space="preserve">Science, School of Public Health, University of South Carolina, Columbia, South Carolina, USA; and </w:t>
      </w:r>
      <w:r>
        <w:rPr>
          <w:rFonts w:ascii="AdvP9725" w:hAnsi="AdvP9725" w:cs="AdvP9725"/>
          <w:sz w:val="12"/>
          <w:szCs w:val="12"/>
        </w:rPr>
        <w:t>3</w:t>
      </w:r>
      <w:r>
        <w:rPr>
          <w:rFonts w:ascii="AdvP9794" w:hAnsi="AdvP9794" w:cs="AdvP9794"/>
          <w:sz w:val="18"/>
          <w:szCs w:val="18"/>
        </w:rPr>
        <w:t>School of Public Health,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94" w:hAnsi="AdvP9794" w:cs="AdvP9794"/>
          <w:sz w:val="18"/>
          <w:szCs w:val="18"/>
        </w:rPr>
      </w:pPr>
      <w:r>
        <w:rPr>
          <w:rFonts w:ascii="AdvP9794" w:hAnsi="AdvP9794" w:cs="AdvP9794"/>
          <w:sz w:val="18"/>
          <w:szCs w:val="18"/>
        </w:rPr>
        <w:t>University of North Carolina at Chapel Hill, Chapel Hill, North Carolina, USA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r>
        <w:rPr>
          <w:rFonts w:ascii="AdvP9788" w:hAnsi="AdvP9788" w:cs="AdvP9788"/>
          <w:sz w:val="18"/>
          <w:szCs w:val="18"/>
        </w:rPr>
        <w:t>OBJECTIVE</w:t>
      </w:r>
      <w:r>
        <w:rPr>
          <w:rFonts w:ascii="AdvP9779" w:hAnsi="AdvP9779" w:cs="AdvP9779"/>
          <w:sz w:val="18"/>
          <w:szCs w:val="18"/>
        </w:rPr>
        <w:t>: To compare the physical activity (PA) patterns and the hypothesized psychosocial and environmental determinants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of</w:t>
      </w:r>
      <w:proofErr w:type="gramEnd"/>
      <w:r>
        <w:rPr>
          <w:rFonts w:ascii="AdvP9779" w:hAnsi="AdvP9779" w:cs="AdvP9779"/>
          <w:sz w:val="18"/>
          <w:szCs w:val="18"/>
        </w:rPr>
        <w:t xml:space="preserve"> PA in an ethnically diverse sample of obese and non-obese middle school children.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r>
        <w:rPr>
          <w:rFonts w:ascii="AdvP9788" w:hAnsi="AdvP9788" w:cs="AdvP9788"/>
          <w:sz w:val="18"/>
          <w:szCs w:val="18"/>
        </w:rPr>
        <w:t>DESIGN</w:t>
      </w:r>
      <w:r>
        <w:rPr>
          <w:rFonts w:ascii="AdvP9779" w:hAnsi="AdvP9779" w:cs="AdvP9779"/>
          <w:sz w:val="18"/>
          <w:szCs w:val="18"/>
        </w:rPr>
        <w:t>: Cross-sectional study.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r>
        <w:rPr>
          <w:rFonts w:ascii="AdvP9788" w:hAnsi="AdvP9788" w:cs="AdvP9788"/>
          <w:sz w:val="18"/>
          <w:szCs w:val="18"/>
        </w:rPr>
        <w:t>SUBJECTS</w:t>
      </w:r>
      <w:r>
        <w:rPr>
          <w:rFonts w:ascii="AdvP9779" w:hAnsi="AdvP9779" w:cs="AdvP9779"/>
          <w:sz w:val="18"/>
          <w:szCs w:val="18"/>
        </w:rPr>
        <w:t>: One-hundred and thirty-three non-obese and 54 obese sixth grade children (mean age of 11.4</w:t>
      </w:r>
      <w:r>
        <w:rPr>
          <w:rFonts w:ascii="AdvMT_SY" w:hAnsi="AdvMT_SY" w:cs="AdvMT_SY"/>
          <w:sz w:val="18"/>
          <w:szCs w:val="18"/>
        </w:rPr>
        <w:t>_</w:t>
      </w:r>
      <w:r>
        <w:rPr>
          <w:rFonts w:ascii="AdvP9779" w:hAnsi="AdvP9779" w:cs="AdvP9779"/>
          <w:sz w:val="18"/>
          <w:szCs w:val="18"/>
        </w:rPr>
        <w:t>0.6). Obesity status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determined</w:t>
      </w:r>
      <w:proofErr w:type="gramEnd"/>
      <w:r>
        <w:rPr>
          <w:rFonts w:ascii="AdvP9779" w:hAnsi="AdvP9779" w:cs="AdvP9779"/>
          <w:sz w:val="18"/>
          <w:szCs w:val="18"/>
        </w:rPr>
        <w:t xml:space="preserve"> using the age-, race- and gender-</w:t>
      </w:r>
      <w:proofErr w:type="spellStart"/>
      <w:r>
        <w:rPr>
          <w:rFonts w:ascii="AdvP9779" w:hAnsi="AdvP9779" w:cs="AdvP9779"/>
          <w:sz w:val="18"/>
          <w:szCs w:val="18"/>
        </w:rPr>
        <w:t>speci®c</w:t>
      </w:r>
      <w:proofErr w:type="spellEnd"/>
      <w:r>
        <w:rPr>
          <w:rFonts w:ascii="AdvP9779" w:hAnsi="AdvP9779" w:cs="AdvP9779"/>
          <w:sz w:val="18"/>
          <w:szCs w:val="18"/>
        </w:rPr>
        <w:t xml:space="preserve"> 95th percentile for BMI from NHANES-1.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r>
        <w:rPr>
          <w:rFonts w:ascii="AdvP9788" w:hAnsi="AdvP9788" w:cs="AdvP9788"/>
          <w:sz w:val="18"/>
          <w:szCs w:val="18"/>
        </w:rPr>
        <w:t>MEASUREMENTS</w:t>
      </w:r>
      <w:r>
        <w:rPr>
          <w:rFonts w:ascii="AdvP9779" w:hAnsi="AdvP9779" w:cs="AdvP9779"/>
          <w:sz w:val="18"/>
          <w:szCs w:val="18"/>
        </w:rPr>
        <w:t>: Objective measurements were collected of PA over a 7-day period using the CSA 7164 accelerometer: total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daily</w:t>
      </w:r>
      <w:proofErr w:type="gramEnd"/>
      <w:r>
        <w:rPr>
          <w:rFonts w:ascii="AdvP9779" w:hAnsi="AdvP9779" w:cs="AdvP9779"/>
          <w:sz w:val="18"/>
          <w:szCs w:val="18"/>
        </w:rPr>
        <w:t xml:space="preserve"> counts; daily moderate (3 ± 5.9 METs) physical activity (MPA); daily vigorous physical activity (</w:t>
      </w:r>
      <w:r>
        <w:rPr>
          <w:rFonts w:ascii="AdvMT_SY" w:hAnsi="AdvMT_SY" w:cs="AdvMT_SY"/>
          <w:sz w:val="18"/>
          <w:szCs w:val="18"/>
        </w:rPr>
        <w:t>_</w:t>
      </w:r>
      <w:r>
        <w:rPr>
          <w:rFonts w:ascii="AdvP9779" w:hAnsi="AdvP9779" w:cs="AdvP9779"/>
          <w:sz w:val="18"/>
          <w:szCs w:val="18"/>
        </w:rPr>
        <w:t>6 METs; VPA); and weekly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number</w:t>
      </w:r>
      <w:proofErr w:type="gramEnd"/>
      <w:r>
        <w:rPr>
          <w:rFonts w:ascii="AdvP9779" w:hAnsi="AdvP9779" w:cs="AdvP9779"/>
          <w:sz w:val="18"/>
          <w:szCs w:val="18"/>
        </w:rPr>
        <w:t xml:space="preserve"> of 5, 10 and 20 min bouts of moderate-to-vigorous physical activity (</w:t>
      </w:r>
      <w:r>
        <w:rPr>
          <w:rFonts w:ascii="AdvMT_SY" w:hAnsi="AdvMT_SY" w:cs="AdvMT_SY"/>
          <w:sz w:val="18"/>
          <w:szCs w:val="18"/>
        </w:rPr>
        <w:t>_</w:t>
      </w:r>
      <w:r>
        <w:rPr>
          <w:rFonts w:ascii="AdvP9779" w:hAnsi="AdvP9779" w:cs="AdvP9779"/>
          <w:sz w:val="18"/>
          <w:szCs w:val="18"/>
        </w:rPr>
        <w:t>3 METs, MVPA). Self-report measures were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collected</w:t>
      </w:r>
      <w:proofErr w:type="gramEnd"/>
      <w:r>
        <w:rPr>
          <w:rFonts w:ascii="AdvP9779" w:hAnsi="AdvP9779" w:cs="AdvP9779"/>
          <w:sz w:val="18"/>
          <w:szCs w:val="18"/>
        </w:rPr>
        <w:t xml:space="preserve"> of PA self-</w:t>
      </w:r>
      <w:proofErr w:type="spellStart"/>
      <w:r>
        <w:rPr>
          <w:rFonts w:ascii="AdvP9779" w:hAnsi="AdvP9779" w:cs="AdvP9779"/>
          <w:sz w:val="18"/>
          <w:szCs w:val="18"/>
        </w:rPr>
        <w:t>ef®cacy</w:t>
      </w:r>
      <w:proofErr w:type="spellEnd"/>
      <w:r>
        <w:rPr>
          <w:rFonts w:ascii="AdvP9779" w:hAnsi="AdvP9779" w:cs="AdvP9779"/>
          <w:sz w:val="18"/>
          <w:szCs w:val="18"/>
        </w:rPr>
        <w:t xml:space="preserve">; social </w:t>
      </w:r>
      <w:proofErr w:type="spellStart"/>
      <w:r>
        <w:rPr>
          <w:rFonts w:ascii="AdvP9779" w:hAnsi="AdvP9779" w:cs="AdvP9779"/>
          <w:sz w:val="18"/>
          <w:szCs w:val="18"/>
        </w:rPr>
        <w:t>in¯uences</w:t>
      </w:r>
      <w:proofErr w:type="spellEnd"/>
      <w:r>
        <w:rPr>
          <w:rFonts w:ascii="AdvP9779" w:hAnsi="AdvP9779" w:cs="AdvP9779"/>
          <w:sz w:val="18"/>
          <w:szCs w:val="18"/>
        </w:rPr>
        <w:t xml:space="preserve"> regarding PA, beliefs about PA outcomes; perceived PA levels of parents and peers,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access</w:t>
      </w:r>
      <w:proofErr w:type="gramEnd"/>
      <w:r>
        <w:rPr>
          <w:rFonts w:ascii="AdvP9779" w:hAnsi="AdvP9779" w:cs="AdvP9779"/>
          <w:sz w:val="18"/>
          <w:szCs w:val="18"/>
        </w:rPr>
        <w:t xml:space="preserve"> to sporting and</w:t>
      </w:r>
      <w:r>
        <w:rPr>
          <w:rFonts w:ascii="AdvMT_MI" w:hAnsi="AdvMT_MI" w:cs="AdvMT_MI"/>
          <w:sz w:val="18"/>
          <w:szCs w:val="18"/>
        </w:rPr>
        <w:t>=</w:t>
      </w:r>
      <w:r>
        <w:rPr>
          <w:rFonts w:ascii="AdvP9779" w:hAnsi="AdvP9779" w:cs="AdvP9779"/>
          <w:sz w:val="18"/>
          <w:szCs w:val="18"/>
        </w:rPr>
        <w:t>or ®</w:t>
      </w:r>
      <w:proofErr w:type="spellStart"/>
      <w:r>
        <w:rPr>
          <w:rFonts w:ascii="AdvP9779" w:hAnsi="AdvP9779" w:cs="AdvP9779"/>
          <w:sz w:val="18"/>
          <w:szCs w:val="18"/>
        </w:rPr>
        <w:t>tness</w:t>
      </w:r>
      <w:proofErr w:type="spellEnd"/>
      <w:r>
        <w:rPr>
          <w:rFonts w:ascii="AdvP9779" w:hAnsi="AdvP9779" w:cs="AdvP9779"/>
          <w:sz w:val="18"/>
          <w:szCs w:val="18"/>
        </w:rPr>
        <w:t xml:space="preserve"> equipment at home, involvement in community-based PA organizations; participation in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community</w:t>
      </w:r>
      <w:proofErr w:type="gramEnd"/>
      <w:r>
        <w:rPr>
          <w:rFonts w:ascii="AdvP9779" w:hAnsi="AdvP9779" w:cs="AdvP9779"/>
          <w:sz w:val="18"/>
          <w:szCs w:val="18"/>
        </w:rPr>
        <w:t xml:space="preserve"> sports teams; and hours spent watching television or playing video games.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r>
        <w:rPr>
          <w:rFonts w:ascii="AdvP9788" w:hAnsi="AdvP9788" w:cs="AdvP9788"/>
          <w:sz w:val="18"/>
          <w:szCs w:val="18"/>
        </w:rPr>
        <w:t>RESULTS</w:t>
      </w:r>
      <w:r>
        <w:rPr>
          <w:rFonts w:ascii="AdvP9779" w:hAnsi="AdvP9779" w:cs="AdvP9779"/>
          <w:sz w:val="18"/>
          <w:szCs w:val="18"/>
        </w:rPr>
        <w:t xml:space="preserve">: Compared to their non-obese counterparts, obese children exhibited </w:t>
      </w:r>
      <w:proofErr w:type="spellStart"/>
      <w:r>
        <w:rPr>
          <w:rFonts w:ascii="AdvP9779" w:hAnsi="AdvP9779" w:cs="AdvP9779"/>
          <w:sz w:val="18"/>
          <w:szCs w:val="18"/>
        </w:rPr>
        <w:t>signi®cantly</w:t>
      </w:r>
      <w:proofErr w:type="spellEnd"/>
      <w:r>
        <w:rPr>
          <w:rFonts w:ascii="AdvP9779" w:hAnsi="AdvP9779" w:cs="AdvP9779"/>
          <w:sz w:val="18"/>
          <w:szCs w:val="18"/>
        </w:rPr>
        <w:t xml:space="preserve"> lower daily accumulations of total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counts</w:t>
      </w:r>
      <w:proofErr w:type="gramEnd"/>
      <w:r>
        <w:rPr>
          <w:rFonts w:ascii="AdvP9779" w:hAnsi="AdvP9779" w:cs="AdvP9779"/>
          <w:sz w:val="18"/>
          <w:szCs w:val="18"/>
        </w:rPr>
        <w:t xml:space="preserve">, MPA and VPA as well as </w:t>
      </w:r>
      <w:proofErr w:type="spellStart"/>
      <w:r>
        <w:rPr>
          <w:rFonts w:ascii="AdvP9779" w:hAnsi="AdvP9779" w:cs="AdvP9779"/>
          <w:sz w:val="18"/>
          <w:szCs w:val="18"/>
        </w:rPr>
        <w:t>signi®cantly</w:t>
      </w:r>
      <w:proofErr w:type="spellEnd"/>
      <w:r>
        <w:rPr>
          <w:rFonts w:ascii="AdvP9779" w:hAnsi="AdvP9779" w:cs="AdvP9779"/>
          <w:sz w:val="18"/>
          <w:szCs w:val="18"/>
        </w:rPr>
        <w:t xml:space="preserve"> fewer 5, 10 and 20 min bouts of MVPA. Obese children reported </w:t>
      </w:r>
      <w:proofErr w:type="spellStart"/>
      <w:r>
        <w:rPr>
          <w:rFonts w:ascii="AdvP9779" w:hAnsi="AdvP9779" w:cs="AdvP9779"/>
          <w:sz w:val="18"/>
          <w:szCs w:val="18"/>
        </w:rPr>
        <w:t>signi®cantly</w:t>
      </w:r>
      <w:proofErr w:type="spellEnd"/>
      <w:r>
        <w:rPr>
          <w:rFonts w:ascii="AdvP9779" w:hAnsi="AdvP9779" w:cs="AdvP9779"/>
          <w:sz w:val="18"/>
          <w:szCs w:val="18"/>
        </w:rPr>
        <w:t xml:space="preserve"> lower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levels</w:t>
      </w:r>
      <w:proofErr w:type="gramEnd"/>
      <w:r>
        <w:rPr>
          <w:rFonts w:ascii="AdvP9779" w:hAnsi="AdvP9779" w:cs="AdvP9779"/>
          <w:sz w:val="18"/>
          <w:szCs w:val="18"/>
        </w:rPr>
        <w:t xml:space="preserve"> of PA self-</w:t>
      </w:r>
      <w:proofErr w:type="spellStart"/>
      <w:r>
        <w:rPr>
          <w:rFonts w:ascii="AdvP9779" w:hAnsi="AdvP9779" w:cs="AdvP9779"/>
          <w:sz w:val="18"/>
          <w:szCs w:val="18"/>
        </w:rPr>
        <w:t>ef®cacy</w:t>
      </w:r>
      <w:proofErr w:type="spellEnd"/>
      <w:r>
        <w:rPr>
          <w:rFonts w:ascii="AdvP9779" w:hAnsi="AdvP9779" w:cs="AdvP9779"/>
          <w:sz w:val="18"/>
          <w:szCs w:val="18"/>
        </w:rPr>
        <w:t xml:space="preserve">, were involved in </w:t>
      </w:r>
      <w:proofErr w:type="spellStart"/>
      <w:r>
        <w:rPr>
          <w:rFonts w:ascii="AdvP9779" w:hAnsi="AdvP9779" w:cs="AdvP9779"/>
          <w:sz w:val="18"/>
          <w:szCs w:val="18"/>
        </w:rPr>
        <w:t>signi®cantly</w:t>
      </w:r>
      <w:proofErr w:type="spellEnd"/>
      <w:r>
        <w:rPr>
          <w:rFonts w:ascii="AdvP9779" w:hAnsi="AdvP9779" w:cs="AdvP9779"/>
          <w:sz w:val="18"/>
          <w:szCs w:val="18"/>
        </w:rPr>
        <w:t xml:space="preserve"> fewer community organizations promoting PA and were </w:t>
      </w:r>
      <w:proofErr w:type="spellStart"/>
      <w:r>
        <w:rPr>
          <w:rFonts w:ascii="AdvP9779" w:hAnsi="AdvP9779" w:cs="AdvP9779"/>
          <w:sz w:val="18"/>
          <w:szCs w:val="18"/>
        </w:rPr>
        <w:t>signi®cantly</w:t>
      </w:r>
      <w:proofErr w:type="spellEnd"/>
      <w:r>
        <w:rPr>
          <w:rFonts w:ascii="AdvP9779" w:hAnsi="AdvP9779" w:cs="AdvP9779"/>
          <w:sz w:val="18"/>
          <w:szCs w:val="18"/>
        </w:rPr>
        <w:t xml:space="preserve"> less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likely</w:t>
      </w:r>
      <w:proofErr w:type="gramEnd"/>
      <w:r>
        <w:rPr>
          <w:rFonts w:ascii="AdvP9779" w:hAnsi="AdvP9779" w:cs="AdvP9779"/>
          <w:sz w:val="18"/>
          <w:szCs w:val="18"/>
        </w:rPr>
        <w:t xml:space="preserve"> to report their father or male guardian as physically active.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r>
        <w:rPr>
          <w:rFonts w:ascii="AdvP9788" w:hAnsi="AdvP9788" w:cs="AdvP9788"/>
          <w:sz w:val="18"/>
          <w:szCs w:val="18"/>
        </w:rPr>
        <w:t>CONCLUSIONS</w:t>
      </w:r>
      <w:r>
        <w:rPr>
          <w:rFonts w:ascii="AdvP9779" w:hAnsi="AdvP9779" w:cs="AdvP9779"/>
          <w:sz w:val="18"/>
          <w:szCs w:val="18"/>
        </w:rPr>
        <w:t>: The results are consistent with the hypothesis that physical inactivity is an important contributing factor in the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maintenance</w:t>
      </w:r>
      <w:proofErr w:type="gramEnd"/>
      <w:r>
        <w:rPr>
          <w:rFonts w:ascii="AdvP9779" w:hAnsi="AdvP9779" w:cs="AdvP9779"/>
          <w:sz w:val="18"/>
          <w:szCs w:val="18"/>
        </w:rPr>
        <w:t xml:space="preserve"> of childhood obesity. Interventions to promote PA in obese children should endeavor to boost self-</w:t>
      </w:r>
      <w:proofErr w:type="spellStart"/>
      <w:r>
        <w:rPr>
          <w:rFonts w:ascii="AdvP9779" w:hAnsi="AdvP9779" w:cs="AdvP9779"/>
          <w:sz w:val="18"/>
          <w:szCs w:val="18"/>
        </w:rPr>
        <w:t>ef®cacy</w:t>
      </w:r>
      <w:proofErr w:type="spellEnd"/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perceptions</w:t>
      </w:r>
      <w:proofErr w:type="gramEnd"/>
      <w:r>
        <w:rPr>
          <w:rFonts w:ascii="AdvP9779" w:hAnsi="AdvP9779" w:cs="AdvP9779"/>
          <w:sz w:val="18"/>
          <w:szCs w:val="18"/>
        </w:rPr>
        <w:t xml:space="preserve"> regarding exercise, increase awareness of, and access to, community PA outlets, and increase parental modeling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proofErr w:type="gramStart"/>
      <w:r>
        <w:rPr>
          <w:rFonts w:ascii="AdvP9779" w:hAnsi="AdvP9779" w:cs="AdvP9779"/>
          <w:sz w:val="18"/>
          <w:szCs w:val="18"/>
        </w:rPr>
        <w:t>of</w:t>
      </w:r>
      <w:proofErr w:type="gramEnd"/>
      <w:r>
        <w:rPr>
          <w:rFonts w:ascii="AdvP9779" w:hAnsi="AdvP9779" w:cs="AdvP9779"/>
          <w:sz w:val="18"/>
          <w:szCs w:val="18"/>
        </w:rPr>
        <w:t xml:space="preserve"> PA.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r>
        <w:rPr>
          <w:rFonts w:ascii="AdvP9779" w:hAnsi="AdvP9779" w:cs="AdvP9779"/>
          <w:sz w:val="18"/>
          <w:szCs w:val="18"/>
        </w:rPr>
        <w:t xml:space="preserve">International Journal of Obesity (2001) </w:t>
      </w:r>
      <w:r>
        <w:rPr>
          <w:rFonts w:ascii="AdvP9788" w:hAnsi="AdvP9788" w:cs="AdvP9788"/>
          <w:sz w:val="18"/>
          <w:szCs w:val="18"/>
        </w:rPr>
        <w:t xml:space="preserve">25, </w:t>
      </w:r>
      <w:r>
        <w:rPr>
          <w:rFonts w:ascii="AdvP9779" w:hAnsi="AdvP9779" w:cs="AdvP9779"/>
          <w:sz w:val="18"/>
          <w:szCs w:val="18"/>
        </w:rPr>
        <w:t>822 ± 829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79" w:hAnsi="AdvP9779" w:cs="AdvP9779"/>
          <w:sz w:val="18"/>
          <w:szCs w:val="18"/>
        </w:rPr>
      </w:pPr>
      <w:r>
        <w:rPr>
          <w:rFonts w:ascii="AdvP9788" w:hAnsi="AdvP9788" w:cs="AdvP9788"/>
          <w:sz w:val="18"/>
          <w:szCs w:val="18"/>
        </w:rPr>
        <w:t xml:space="preserve">Keywords: </w:t>
      </w:r>
      <w:r>
        <w:rPr>
          <w:rFonts w:ascii="AdvP9779" w:hAnsi="AdvP9779" w:cs="AdvP9779"/>
          <w:sz w:val="18"/>
          <w:szCs w:val="18"/>
        </w:rPr>
        <w:t xml:space="preserve">exercise; inactivity; overweight; </w:t>
      </w:r>
      <w:proofErr w:type="spellStart"/>
      <w:r>
        <w:rPr>
          <w:rFonts w:ascii="AdvP9779" w:hAnsi="AdvP9779" w:cs="AdvP9779"/>
          <w:sz w:val="18"/>
          <w:szCs w:val="18"/>
        </w:rPr>
        <w:t>accelerometry</w:t>
      </w:r>
      <w:proofErr w:type="spellEnd"/>
      <w:r>
        <w:rPr>
          <w:rFonts w:ascii="AdvP9779" w:hAnsi="AdvP9779" w:cs="AdvP9779"/>
          <w:sz w:val="18"/>
          <w:szCs w:val="18"/>
        </w:rPr>
        <w:t>; objective monitoring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88" w:hAnsi="AdvP9788" w:cs="AdvP9788"/>
          <w:sz w:val="20"/>
          <w:szCs w:val="20"/>
        </w:rPr>
      </w:pPr>
      <w:r>
        <w:rPr>
          <w:rFonts w:ascii="AdvP9788" w:hAnsi="AdvP9788" w:cs="AdvP9788"/>
          <w:sz w:val="20"/>
          <w:szCs w:val="20"/>
        </w:rPr>
        <w:t>Introduction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r>
        <w:rPr>
          <w:rFonts w:ascii="AdvP9725" w:hAnsi="AdvP9725" w:cs="AdvP9725"/>
          <w:sz w:val="17"/>
          <w:szCs w:val="17"/>
        </w:rPr>
        <w:t>The prevalence of obesity among US children and adolescents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is</w:t>
      </w:r>
      <w:proofErr w:type="gramEnd"/>
      <w:r>
        <w:rPr>
          <w:rFonts w:ascii="AdvP9725" w:hAnsi="AdvP9725" w:cs="AdvP9725"/>
          <w:sz w:val="17"/>
          <w:szCs w:val="17"/>
        </w:rPr>
        <w:t xml:space="preserve"> increasing at an alarming rate. In the 10 y between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the</w:t>
      </w:r>
      <w:proofErr w:type="gramEnd"/>
      <w:r>
        <w:rPr>
          <w:rFonts w:ascii="AdvP9725" w:hAnsi="AdvP9725" w:cs="AdvP9725"/>
          <w:sz w:val="17"/>
          <w:szCs w:val="17"/>
        </w:rPr>
        <w:t xml:space="preserve"> second (1976 ± 1980) and third (1988 ± 1991) administration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of</w:t>
      </w:r>
      <w:proofErr w:type="gramEnd"/>
      <w:r>
        <w:rPr>
          <w:rFonts w:ascii="AdvP9725" w:hAnsi="AdvP9725" w:cs="AdvP9725"/>
          <w:sz w:val="17"/>
          <w:szCs w:val="17"/>
        </w:rPr>
        <w:t xml:space="preserve"> the National Health and Nutrition Examination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r>
        <w:rPr>
          <w:rFonts w:ascii="AdvP9725" w:hAnsi="AdvP9725" w:cs="AdvP9725"/>
          <w:sz w:val="17"/>
          <w:szCs w:val="17"/>
        </w:rPr>
        <w:t>Survey (NHANES), the prevalence of obesity among children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r>
        <w:rPr>
          <w:rFonts w:ascii="AdvP9725" w:hAnsi="AdvP9725" w:cs="AdvP9725"/>
          <w:sz w:val="17"/>
          <w:szCs w:val="17"/>
        </w:rPr>
        <w:t>(6 ± 11 y) and adolescents (12 ± 17 y) (based on age- and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gender-</w:t>
      </w:r>
      <w:proofErr w:type="spellStart"/>
      <w:r>
        <w:rPr>
          <w:rFonts w:ascii="AdvP9725" w:hAnsi="AdvP9725" w:cs="AdvP9725"/>
          <w:sz w:val="17"/>
          <w:szCs w:val="17"/>
        </w:rPr>
        <w:t>speci®</w:t>
      </w:r>
      <w:proofErr w:type="gramEnd"/>
      <w:r>
        <w:rPr>
          <w:rFonts w:ascii="AdvP9725" w:hAnsi="AdvP9725" w:cs="AdvP9725"/>
          <w:sz w:val="17"/>
          <w:szCs w:val="17"/>
        </w:rPr>
        <w:t>c</w:t>
      </w:r>
      <w:proofErr w:type="spellEnd"/>
      <w:r>
        <w:rPr>
          <w:rFonts w:ascii="AdvP9725" w:hAnsi="AdvP9725" w:cs="AdvP9725"/>
          <w:sz w:val="17"/>
          <w:szCs w:val="17"/>
        </w:rPr>
        <w:t xml:space="preserve"> 95th percentile body mass index (BMI) cutoff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points</w:t>
      </w:r>
      <w:proofErr w:type="gramEnd"/>
      <w:r>
        <w:rPr>
          <w:rFonts w:ascii="AdvP9725" w:hAnsi="AdvP9725" w:cs="AdvP9725"/>
          <w:sz w:val="17"/>
          <w:szCs w:val="17"/>
        </w:rPr>
        <w:t>) increased from 6 to 10.7% and 4.8 to 10.7%,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respectively.</w:t>
      </w:r>
      <w:r>
        <w:rPr>
          <w:rFonts w:ascii="AdvP9725" w:hAnsi="AdvP9725" w:cs="AdvP9725"/>
          <w:sz w:val="11"/>
          <w:szCs w:val="11"/>
        </w:rPr>
        <w:t>1</w:t>
      </w:r>
      <w:proofErr w:type="gramEnd"/>
      <w:r>
        <w:rPr>
          <w:rFonts w:ascii="AdvP9725" w:hAnsi="AdvP9725" w:cs="AdvP9725"/>
          <w:sz w:val="11"/>
          <w:szCs w:val="11"/>
        </w:rPr>
        <w:t xml:space="preserve"> </w:t>
      </w:r>
      <w:r>
        <w:rPr>
          <w:rFonts w:ascii="AdvP9725" w:hAnsi="AdvP9725" w:cs="AdvP9725"/>
          <w:sz w:val="17"/>
          <w:szCs w:val="17"/>
        </w:rPr>
        <w:t xml:space="preserve">Recent reports </w:t>
      </w:r>
      <w:proofErr w:type="spellStart"/>
      <w:r>
        <w:rPr>
          <w:rFonts w:ascii="AdvP9725" w:hAnsi="AdvP9725" w:cs="AdvP9725"/>
          <w:sz w:val="17"/>
          <w:szCs w:val="17"/>
        </w:rPr>
        <w:t>con®rm</w:t>
      </w:r>
      <w:proofErr w:type="spellEnd"/>
      <w:r>
        <w:rPr>
          <w:rFonts w:ascii="AdvP9725" w:hAnsi="AdvP9725" w:cs="AdvP9725"/>
          <w:sz w:val="17"/>
          <w:szCs w:val="17"/>
        </w:rPr>
        <w:t xml:space="preserve"> similar increases in the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prevalence</w:t>
      </w:r>
      <w:proofErr w:type="gramEnd"/>
      <w:r>
        <w:rPr>
          <w:rFonts w:ascii="AdvP9725" w:hAnsi="AdvP9725" w:cs="AdvP9725"/>
          <w:sz w:val="17"/>
          <w:szCs w:val="17"/>
        </w:rPr>
        <w:t xml:space="preserve"> of obesity among preschoolers and infants.</w:t>
      </w:r>
      <w:r>
        <w:rPr>
          <w:rFonts w:ascii="AdvP9725" w:hAnsi="AdvP9725" w:cs="AdvP9725"/>
          <w:sz w:val="11"/>
          <w:szCs w:val="11"/>
        </w:rPr>
        <w:t xml:space="preserve">2,3 </w:t>
      </w:r>
      <w:r>
        <w:rPr>
          <w:rFonts w:ascii="AdvP9725" w:hAnsi="AdvP9725" w:cs="AdvP9725"/>
          <w:sz w:val="17"/>
          <w:szCs w:val="17"/>
        </w:rPr>
        <w:t>The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rising</w:t>
      </w:r>
      <w:proofErr w:type="gramEnd"/>
      <w:r>
        <w:rPr>
          <w:rFonts w:ascii="AdvP9725" w:hAnsi="AdvP9725" w:cs="AdvP9725"/>
          <w:sz w:val="17"/>
          <w:szCs w:val="17"/>
        </w:rPr>
        <w:t xml:space="preserve"> trend in pediatric obesity represents a critical public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health</w:t>
      </w:r>
      <w:proofErr w:type="gramEnd"/>
      <w:r>
        <w:rPr>
          <w:rFonts w:ascii="AdvP9725" w:hAnsi="AdvP9725" w:cs="AdvP9725"/>
          <w:sz w:val="17"/>
          <w:szCs w:val="17"/>
        </w:rPr>
        <w:t xml:space="preserve"> problem. Obese children and adolescents are at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increased</w:t>
      </w:r>
      <w:proofErr w:type="gramEnd"/>
      <w:r>
        <w:rPr>
          <w:rFonts w:ascii="AdvP9725" w:hAnsi="AdvP9725" w:cs="AdvP9725"/>
          <w:sz w:val="17"/>
          <w:szCs w:val="17"/>
        </w:rPr>
        <w:t xml:space="preserve"> risk for adult obesity</w:t>
      </w:r>
      <w:r>
        <w:rPr>
          <w:rFonts w:ascii="AdvP9725" w:hAnsi="AdvP9725" w:cs="AdvP9725"/>
          <w:sz w:val="11"/>
          <w:szCs w:val="11"/>
        </w:rPr>
        <w:t xml:space="preserve">4 </w:t>
      </w:r>
      <w:r>
        <w:rPr>
          <w:rFonts w:ascii="AdvP9725" w:hAnsi="AdvP9725" w:cs="AdvP9725"/>
          <w:sz w:val="17"/>
          <w:szCs w:val="17"/>
        </w:rPr>
        <w:t>and are more likely than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lastRenderedPageBreak/>
        <w:t>their</w:t>
      </w:r>
      <w:proofErr w:type="gramEnd"/>
      <w:r>
        <w:rPr>
          <w:rFonts w:ascii="AdvP9725" w:hAnsi="AdvP9725" w:cs="AdvP9725"/>
          <w:sz w:val="17"/>
          <w:szCs w:val="17"/>
        </w:rPr>
        <w:t xml:space="preserve"> lean counterparts to experience </w:t>
      </w:r>
      <w:proofErr w:type="spellStart"/>
      <w:r>
        <w:rPr>
          <w:rFonts w:ascii="AdvP9725" w:hAnsi="AdvP9725" w:cs="AdvP9725"/>
          <w:sz w:val="17"/>
          <w:szCs w:val="17"/>
        </w:rPr>
        <w:t>signi®cant</w:t>
      </w:r>
      <w:proofErr w:type="spellEnd"/>
      <w:r>
        <w:rPr>
          <w:rFonts w:ascii="AdvP9725" w:hAnsi="AdvP9725" w:cs="AdvP9725"/>
          <w:sz w:val="17"/>
          <w:szCs w:val="17"/>
        </w:rPr>
        <w:t xml:space="preserve"> short-term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health</w:t>
      </w:r>
      <w:proofErr w:type="gramEnd"/>
      <w:r>
        <w:rPr>
          <w:rFonts w:ascii="AdvP9725" w:hAnsi="AdvP9725" w:cs="AdvP9725"/>
          <w:sz w:val="17"/>
          <w:szCs w:val="17"/>
        </w:rPr>
        <w:t xml:space="preserve"> problems such as </w:t>
      </w:r>
      <w:proofErr w:type="spellStart"/>
      <w:r>
        <w:rPr>
          <w:rFonts w:ascii="AdvP9725" w:hAnsi="AdvP9725" w:cs="AdvP9725"/>
          <w:sz w:val="17"/>
          <w:szCs w:val="17"/>
        </w:rPr>
        <w:t>hyperlipidemia</w:t>
      </w:r>
      <w:proofErr w:type="spellEnd"/>
      <w:r>
        <w:rPr>
          <w:rFonts w:ascii="AdvP9725" w:hAnsi="AdvP9725" w:cs="AdvP9725"/>
          <w:sz w:val="17"/>
          <w:szCs w:val="17"/>
        </w:rPr>
        <w:t>, hypertension, glucose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intolerance</w:t>
      </w:r>
      <w:proofErr w:type="gramEnd"/>
      <w:r>
        <w:rPr>
          <w:rFonts w:ascii="AdvP9725" w:hAnsi="AdvP9725" w:cs="AdvP9725"/>
          <w:sz w:val="17"/>
          <w:szCs w:val="17"/>
        </w:rPr>
        <w:t xml:space="preserve"> and orthopedic complications.</w:t>
      </w:r>
      <w:r>
        <w:rPr>
          <w:rFonts w:ascii="AdvP9725" w:hAnsi="AdvP9725" w:cs="AdvP9725"/>
          <w:sz w:val="11"/>
          <w:szCs w:val="11"/>
        </w:rPr>
        <w:t xml:space="preserve">5,6 </w:t>
      </w:r>
      <w:r>
        <w:rPr>
          <w:rFonts w:ascii="AdvP9725" w:hAnsi="AdvP9725" w:cs="AdvP9725"/>
          <w:sz w:val="17"/>
          <w:szCs w:val="17"/>
        </w:rPr>
        <w:t>Moreover,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the</w:t>
      </w:r>
      <w:proofErr w:type="gramEnd"/>
      <w:r>
        <w:rPr>
          <w:rFonts w:ascii="AdvP9725" w:hAnsi="AdvP9725" w:cs="AdvP9725"/>
          <w:sz w:val="17"/>
          <w:szCs w:val="17"/>
        </w:rPr>
        <w:t xml:space="preserve"> adverse social consequences of childhood and adolescent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obesity</w:t>
      </w:r>
      <w:proofErr w:type="gramEnd"/>
      <w:r>
        <w:rPr>
          <w:rFonts w:ascii="AdvP9725" w:hAnsi="AdvP9725" w:cs="AdvP9725"/>
          <w:sz w:val="17"/>
          <w:szCs w:val="17"/>
        </w:rPr>
        <w:t xml:space="preserve"> may have long-lasting negative effects on </w:t>
      </w:r>
      <w:proofErr w:type="spellStart"/>
      <w:r>
        <w:rPr>
          <w:rFonts w:ascii="AdvP9725" w:hAnsi="AdvP9725" w:cs="AdvP9725"/>
          <w:sz w:val="17"/>
          <w:szCs w:val="17"/>
        </w:rPr>
        <w:t>selfesteem</w:t>
      </w:r>
      <w:proofErr w:type="spellEnd"/>
      <w:r>
        <w:rPr>
          <w:rFonts w:ascii="AdvP9725" w:hAnsi="AdvP9725" w:cs="AdvP9725"/>
          <w:sz w:val="17"/>
          <w:szCs w:val="17"/>
        </w:rPr>
        <w:t>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1"/>
          <w:szCs w:val="11"/>
        </w:rPr>
      </w:pPr>
      <w:proofErr w:type="gramStart"/>
      <w:r>
        <w:rPr>
          <w:rFonts w:ascii="AdvP9725" w:hAnsi="AdvP9725" w:cs="AdvP9725"/>
          <w:sz w:val="17"/>
          <w:szCs w:val="17"/>
        </w:rPr>
        <w:t>body</w:t>
      </w:r>
      <w:proofErr w:type="gramEnd"/>
      <w:r>
        <w:rPr>
          <w:rFonts w:ascii="AdvP9725" w:hAnsi="AdvP9725" w:cs="AdvP9725"/>
          <w:sz w:val="17"/>
          <w:szCs w:val="17"/>
        </w:rPr>
        <w:t xml:space="preserve"> image and economic mobility.</w:t>
      </w:r>
      <w:r>
        <w:rPr>
          <w:rFonts w:ascii="AdvP9725" w:hAnsi="AdvP9725" w:cs="AdvP9725"/>
          <w:sz w:val="11"/>
          <w:szCs w:val="11"/>
        </w:rPr>
        <w:t>6,7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r>
        <w:rPr>
          <w:rFonts w:ascii="AdvP9725" w:hAnsi="AdvP9725" w:cs="AdvP9725"/>
          <w:sz w:val="17"/>
          <w:szCs w:val="17"/>
        </w:rPr>
        <w:t>Lack of physical activity is hypothesized to be an important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25" w:hAnsi="AdvP9725" w:cs="AdvP9725"/>
          <w:sz w:val="17"/>
          <w:szCs w:val="17"/>
        </w:rPr>
      </w:pPr>
      <w:proofErr w:type="gramStart"/>
      <w:r>
        <w:rPr>
          <w:rFonts w:ascii="AdvP9725" w:hAnsi="AdvP9725" w:cs="AdvP9725"/>
          <w:sz w:val="17"/>
          <w:szCs w:val="17"/>
        </w:rPr>
        <w:t>contributing</w:t>
      </w:r>
      <w:proofErr w:type="gramEnd"/>
      <w:r>
        <w:rPr>
          <w:rFonts w:ascii="AdvP9725" w:hAnsi="AdvP9725" w:cs="AdvP9725"/>
          <w:sz w:val="17"/>
          <w:szCs w:val="17"/>
        </w:rPr>
        <w:t xml:space="preserve"> factor in the development and</w:t>
      </w:r>
      <w:r>
        <w:rPr>
          <w:rFonts w:ascii="AdvMT_MI" w:hAnsi="AdvMT_MI" w:cs="AdvMT_MI"/>
          <w:sz w:val="17"/>
          <w:szCs w:val="17"/>
        </w:rPr>
        <w:t>=</w:t>
      </w:r>
      <w:r>
        <w:rPr>
          <w:rFonts w:ascii="AdvP9725" w:hAnsi="AdvP9725" w:cs="AdvP9725"/>
          <w:sz w:val="17"/>
          <w:szCs w:val="17"/>
        </w:rPr>
        <w:t>or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88" w:hAnsi="AdvP9788" w:cs="AdvP9788"/>
          <w:sz w:val="14"/>
          <w:szCs w:val="14"/>
        </w:rPr>
      </w:pPr>
      <w:r>
        <w:rPr>
          <w:rFonts w:ascii="AdvP9788" w:hAnsi="AdvP9788" w:cs="AdvP9788"/>
          <w:sz w:val="14"/>
          <w:szCs w:val="14"/>
        </w:rPr>
        <w:t xml:space="preserve">*Correspondence: SG </w:t>
      </w:r>
      <w:proofErr w:type="spellStart"/>
      <w:r>
        <w:rPr>
          <w:rFonts w:ascii="AdvP9788" w:hAnsi="AdvP9788" w:cs="AdvP9788"/>
          <w:sz w:val="14"/>
          <w:szCs w:val="14"/>
        </w:rPr>
        <w:t>Trost</w:t>
      </w:r>
      <w:proofErr w:type="spellEnd"/>
      <w:r>
        <w:rPr>
          <w:rFonts w:ascii="AdvP9788" w:hAnsi="AdvP9788" w:cs="AdvP9788"/>
          <w:sz w:val="14"/>
          <w:szCs w:val="14"/>
        </w:rPr>
        <w:t>, School of Human Movement Studies,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88" w:hAnsi="AdvP9788" w:cs="AdvP9788"/>
          <w:sz w:val="14"/>
          <w:szCs w:val="14"/>
        </w:rPr>
      </w:pPr>
      <w:proofErr w:type="gramStart"/>
      <w:r>
        <w:rPr>
          <w:rFonts w:ascii="AdvP9788" w:hAnsi="AdvP9788" w:cs="AdvP9788"/>
          <w:sz w:val="14"/>
          <w:szCs w:val="14"/>
        </w:rPr>
        <w:t>The University of Queensland, Brisbane, QLD 4072, Australia.</w:t>
      </w:r>
      <w:proofErr w:type="gramEnd"/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88" w:hAnsi="AdvP9788" w:cs="AdvP9788"/>
          <w:sz w:val="14"/>
          <w:szCs w:val="14"/>
        </w:rPr>
      </w:pPr>
      <w:r>
        <w:rPr>
          <w:rFonts w:ascii="AdvP9788" w:hAnsi="AdvP9788" w:cs="AdvP9788"/>
          <w:sz w:val="14"/>
          <w:szCs w:val="14"/>
        </w:rPr>
        <w:t>E-mail: strost@hms.uq.edu.au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AdvP9788" w:hAnsi="AdvP9788" w:cs="AdvP9788"/>
          <w:sz w:val="14"/>
          <w:szCs w:val="14"/>
        </w:rPr>
      </w:pPr>
      <w:r>
        <w:rPr>
          <w:rFonts w:ascii="AdvP9788" w:hAnsi="AdvP9788" w:cs="AdvP9788"/>
          <w:sz w:val="14"/>
          <w:szCs w:val="14"/>
        </w:rPr>
        <w:t>Received 7 June 2000; revised 19 December 2000;</w:t>
      </w: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  <w:proofErr w:type="gramStart"/>
      <w:r>
        <w:rPr>
          <w:rFonts w:ascii="AdvP9788" w:hAnsi="AdvP9788" w:cs="AdvP9788"/>
          <w:sz w:val="14"/>
          <w:szCs w:val="14"/>
        </w:rPr>
        <w:t>accepted</w:t>
      </w:r>
      <w:proofErr w:type="gramEnd"/>
      <w:r>
        <w:rPr>
          <w:rFonts w:ascii="AdvP9788" w:hAnsi="AdvP9788" w:cs="AdvP9788"/>
          <w:sz w:val="14"/>
          <w:szCs w:val="14"/>
        </w:rPr>
        <w:t xml:space="preserve"> 15 January 2001</w:t>
      </w: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rPr>
          <w:rFonts w:ascii="AdvP9788" w:hAnsi="AdvP9788" w:cs="AdvP9788"/>
          <w:sz w:val="14"/>
          <w:szCs w:val="14"/>
        </w:rPr>
      </w:pP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  <w:sz w:val="42"/>
          <w:szCs w:val="42"/>
        </w:rPr>
      </w:pPr>
      <w:r>
        <w:rPr>
          <w:rFonts w:ascii="Myriad-Bold" w:hAnsi="Myriad-Bold" w:cs="Myriad-Bold"/>
          <w:b/>
          <w:bCs/>
          <w:color w:val="000000"/>
          <w:sz w:val="42"/>
          <w:szCs w:val="42"/>
        </w:rPr>
        <w:t>An evaluation of UK secondary data sources for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  <w:sz w:val="42"/>
          <w:szCs w:val="42"/>
        </w:rPr>
      </w:pPr>
      <w:proofErr w:type="gramStart"/>
      <w:r>
        <w:rPr>
          <w:rFonts w:ascii="Myriad-Bold" w:hAnsi="Myriad-Bold" w:cs="Myriad-Bold"/>
          <w:b/>
          <w:bCs/>
          <w:color w:val="000000"/>
          <w:sz w:val="42"/>
          <w:szCs w:val="42"/>
        </w:rPr>
        <w:t>the</w:t>
      </w:r>
      <w:proofErr w:type="gramEnd"/>
      <w:r>
        <w:rPr>
          <w:rFonts w:ascii="Myriad-Bold" w:hAnsi="Myriad-Bold" w:cs="Myriad-Bold"/>
          <w:b/>
          <w:bCs/>
          <w:color w:val="000000"/>
          <w:sz w:val="42"/>
          <w:szCs w:val="42"/>
        </w:rPr>
        <w:t xml:space="preserve"> study of childhood obesity, physical activity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  <w:sz w:val="42"/>
          <w:szCs w:val="42"/>
        </w:rPr>
      </w:pPr>
      <w:proofErr w:type="gramStart"/>
      <w:r>
        <w:rPr>
          <w:rFonts w:ascii="Myriad-Bold" w:hAnsi="Myriad-Bold" w:cs="Myriad-Bold"/>
          <w:b/>
          <w:bCs/>
          <w:color w:val="000000"/>
          <w:sz w:val="42"/>
          <w:szCs w:val="42"/>
        </w:rPr>
        <w:t>and</w:t>
      </w:r>
      <w:proofErr w:type="gramEnd"/>
      <w:r>
        <w:rPr>
          <w:rFonts w:ascii="Myriad-Bold" w:hAnsi="Myriad-Bold" w:cs="Myriad-Bold"/>
          <w:b/>
          <w:bCs/>
          <w:color w:val="000000"/>
          <w:sz w:val="42"/>
          <w:szCs w:val="42"/>
        </w:rPr>
        <w:t xml:space="preserve"> diet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Semibold" w:hAnsi="Minion-Semibold" w:cs="Minion-Semibold"/>
          <w:b/>
          <w:bCs/>
          <w:color w:val="000000"/>
          <w:sz w:val="24"/>
          <w:szCs w:val="24"/>
        </w:rPr>
      </w:pPr>
      <w:r>
        <w:rPr>
          <w:rFonts w:ascii="Minion-Semibold" w:hAnsi="Minion-Semibold" w:cs="Minion-Semibold"/>
          <w:b/>
          <w:bCs/>
          <w:color w:val="000000"/>
          <w:sz w:val="24"/>
          <w:szCs w:val="24"/>
        </w:rPr>
        <w:t>A. Pearce, R. Jenkins, C. Kirk and C. Law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>
        <w:rPr>
          <w:rFonts w:ascii="Minion-Regular" w:hAnsi="Minion-Regular" w:cs="Minion-Regular"/>
          <w:color w:val="000000"/>
          <w:sz w:val="18"/>
          <w:szCs w:val="18"/>
        </w:rPr>
        <w:t xml:space="preserve">Centre for </w:t>
      </w:r>
      <w:proofErr w:type="spellStart"/>
      <w:r>
        <w:rPr>
          <w:rFonts w:ascii="Minion-Regular" w:hAnsi="Minion-Regular" w:cs="Minion-Regular"/>
          <w:color w:val="000000"/>
          <w:sz w:val="18"/>
          <w:szCs w:val="18"/>
        </w:rPr>
        <w:t>Paediatric</w:t>
      </w:r>
      <w:proofErr w:type="spellEnd"/>
      <w:r>
        <w:rPr>
          <w:rFonts w:ascii="Minion-Regular" w:hAnsi="Minion-Regular" w:cs="Minion-Regular"/>
          <w:color w:val="000000"/>
          <w:sz w:val="18"/>
          <w:szCs w:val="18"/>
        </w:rPr>
        <w:t xml:space="preserve"> Epidemiology and Biostatistics, UCL Institute of Child Health, University College London, London, UK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>
        <w:rPr>
          <w:rFonts w:ascii="Minion-Regular" w:hAnsi="Minion-Regular" w:cs="Minion-Regular"/>
          <w:color w:val="000000"/>
          <w:sz w:val="18"/>
          <w:szCs w:val="18"/>
        </w:rPr>
        <w:t>Accepted for publication 17 March 2008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  <w:sz w:val="15"/>
          <w:szCs w:val="15"/>
        </w:rPr>
      </w:pPr>
      <w:r>
        <w:rPr>
          <w:rFonts w:ascii="Myriad-Bold" w:hAnsi="Myriad-Bold" w:cs="Myriad-Bold"/>
          <w:b/>
          <w:bCs/>
          <w:color w:val="000000"/>
          <w:sz w:val="15"/>
          <w:szCs w:val="15"/>
        </w:rPr>
        <w:t>Keywords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5"/>
          <w:szCs w:val="15"/>
        </w:rPr>
      </w:pPr>
      <w:proofErr w:type="gramStart"/>
      <w:r>
        <w:rPr>
          <w:rFonts w:ascii="Myriad-Roman" w:hAnsi="Myriad-Roman" w:cs="Myriad-Roman"/>
          <w:color w:val="000000"/>
          <w:sz w:val="15"/>
          <w:szCs w:val="15"/>
        </w:rPr>
        <w:t>child</w:t>
      </w:r>
      <w:proofErr w:type="gramEnd"/>
      <w:r>
        <w:rPr>
          <w:rFonts w:ascii="Myriad-Roman" w:hAnsi="Myriad-Roman" w:cs="Myriad-Roman"/>
          <w:color w:val="000000"/>
          <w:sz w:val="15"/>
          <w:szCs w:val="15"/>
        </w:rPr>
        <w:t xml:space="preserve"> public health, data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5"/>
          <w:szCs w:val="15"/>
        </w:rPr>
      </w:pPr>
      <w:proofErr w:type="gramStart"/>
      <w:r>
        <w:rPr>
          <w:rFonts w:ascii="Myriad-Roman" w:hAnsi="Myriad-Roman" w:cs="Myriad-Roman"/>
          <w:color w:val="000000"/>
          <w:sz w:val="15"/>
          <w:szCs w:val="15"/>
        </w:rPr>
        <w:t>collection</w:t>
      </w:r>
      <w:proofErr w:type="gramEnd"/>
      <w:r>
        <w:rPr>
          <w:rFonts w:ascii="Myriad-Roman" w:hAnsi="Myriad-Roman" w:cs="Myriad-Roman"/>
          <w:color w:val="000000"/>
          <w:sz w:val="15"/>
          <w:szCs w:val="15"/>
        </w:rPr>
        <w:t>, diet, obesity,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5"/>
          <w:szCs w:val="15"/>
        </w:rPr>
      </w:pPr>
      <w:proofErr w:type="gramStart"/>
      <w:r>
        <w:rPr>
          <w:rFonts w:ascii="Myriad-Roman" w:hAnsi="Myriad-Roman" w:cs="Myriad-Roman"/>
          <w:color w:val="000000"/>
          <w:sz w:val="15"/>
          <w:szCs w:val="15"/>
        </w:rPr>
        <w:t>physical</w:t>
      </w:r>
      <w:proofErr w:type="gramEnd"/>
      <w:r>
        <w:rPr>
          <w:rFonts w:ascii="Myriad-Roman" w:hAnsi="Myriad-Roman" w:cs="Myriad-Roman"/>
          <w:color w:val="000000"/>
          <w:sz w:val="15"/>
          <w:szCs w:val="15"/>
        </w:rPr>
        <w:t xml:space="preserve"> activity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5"/>
          <w:szCs w:val="15"/>
        </w:rPr>
      </w:pPr>
      <w:r>
        <w:rPr>
          <w:rFonts w:ascii="Myriad-Roman" w:hAnsi="Myriad-Roman" w:cs="Myriad-Roman"/>
          <w:color w:val="000000"/>
          <w:sz w:val="15"/>
          <w:szCs w:val="15"/>
        </w:rPr>
        <w:t>Correspondence: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5"/>
          <w:szCs w:val="15"/>
        </w:rPr>
      </w:pPr>
      <w:r>
        <w:rPr>
          <w:rFonts w:ascii="Myriad-Roman" w:hAnsi="Myriad-Roman" w:cs="Myriad-Roman"/>
          <w:color w:val="000000"/>
          <w:sz w:val="15"/>
          <w:szCs w:val="15"/>
        </w:rPr>
        <w:t>Anna Pearce, UCL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5"/>
          <w:szCs w:val="15"/>
        </w:rPr>
      </w:pPr>
      <w:r>
        <w:rPr>
          <w:rFonts w:ascii="Myriad-Roman" w:hAnsi="Myriad-Roman" w:cs="Myriad-Roman"/>
          <w:color w:val="000000"/>
          <w:sz w:val="15"/>
          <w:szCs w:val="15"/>
        </w:rPr>
        <w:t>Institute of Child Health,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5"/>
          <w:szCs w:val="15"/>
        </w:rPr>
      </w:pPr>
      <w:r>
        <w:rPr>
          <w:rFonts w:ascii="Myriad-Roman" w:hAnsi="Myriad-Roman" w:cs="Myriad-Roman"/>
          <w:color w:val="000000"/>
          <w:sz w:val="15"/>
          <w:szCs w:val="15"/>
        </w:rPr>
        <w:t>30 Guilford Street,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5"/>
          <w:szCs w:val="15"/>
        </w:rPr>
      </w:pPr>
      <w:r>
        <w:rPr>
          <w:rFonts w:ascii="Myriad-Roman" w:hAnsi="Myriad-Roman" w:cs="Myriad-Roman"/>
          <w:color w:val="000000"/>
          <w:sz w:val="15"/>
          <w:szCs w:val="15"/>
        </w:rPr>
        <w:t>London</w:t>
      </w:r>
      <w:proofErr w:type="gramStart"/>
      <w:r>
        <w:rPr>
          <w:rFonts w:ascii="Myriad-Roman" w:hAnsi="Myriad-Roman" w:cs="Myriad-Roman"/>
          <w:color w:val="000000"/>
          <w:sz w:val="15"/>
          <w:szCs w:val="15"/>
        </w:rPr>
        <w:t>,WC1N</w:t>
      </w:r>
      <w:proofErr w:type="gramEnd"/>
      <w:r>
        <w:rPr>
          <w:rFonts w:ascii="Myriad-Roman" w:hAnsi="Myriad-Roman" w:cs="Myriad-Roman"/>
          <w:color w:val="000000"/>
          <w:sz w:val="15"/>
          <w:szCs w:val="15"/>
        </w:rPr>
        <w:t xml:space="preserve"> 1EH, UK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5"/>
          <w:szCs w:val="15"/>
        </w:rPr>
      </w:pPr>
      <w:r>
        <w:rPr>
          <w:rFonts w:ascii="Myriad-Roman" w:hAnsi="Myriad-Roman" w:cs="Myriad-Roman"/>
          <w:color w:val="000000"/>
          <w:sz w:val="15"/>
          <w:szCs w:val="15"/>
        </w:rPr>
        <w:t>E-mail: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5"/>
          <w:szCs w:val="15"/>
        </w:rPr>
      </w:pPr>
      <w:r>
        <w:rPr>
          <w:rFonts w:ascii="Myriad-Roman" w:hAnsi="Myriad-Roman" w:cs="Myriad-Roman"/>
          <w:color w:val="000000"/>
          <w:sz w:val="15"/>
          <w:szCs w:val="15"/>
        </w:rPr>
        <w:t>a.pearce@ich.ucl.ac.uk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</w:rPr>
      </w:pPr>
      <w:r>
        <w:rPr>
          <w:rFonts w:ascii="Myriad-Bold" w:hAnsi="Myriad-Bold" w:cs="Myriad-Bold"/>
          <w:b/>
          <w:bCs/>
          <w:color w:val="000000"/>
        </w:rPr>
        <w:t>Abstract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r>
        <w:rPr>
          <w:rFonts w:ascii="MyriadMM400600RegularNormalItal" w:hAnsi="MyriadMM400600RegularNormalItal" w:cs="MyriadMM400600RegularNormalItal"/>
          <w:i/>
          <w:iCs/>
          <w:color w:val="000000"/>
          <w:sz w:val="19"/>
          <w:szCs w:val="19"/>
        </w:rPr>
        <w:t xml:space="preserve">Background </w:t>
      </w:r>
      <w:r>
        <w:rPr>
          <w:rFonts w:ascii="Myriad-Roman" w:hAnsi="Myriad-Roman" w:cs="Myriad-Roman"/>
          <w:color w:val="000000"/>
          <w:sz w:val="19"/>
          <w:szCs w:val="19"/>
        </w:rPr>
        <w:t>This study assesses the potential of secondary datasets for measuring recent and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future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 xml:space="preserve"> trends in childhood obesity, physical activity and diet in the UK, at national, regional and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sub-regional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 xml:space="preserve"> levels, and in relation to inequalities.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r>
        <w:rPr>
          <w:rFonts w:ascii="MyriadMM400600RegularNormalItal" w:hAnsi="MyriadMM400600RegularNormalItal" w:cs="MyriadMM400600RegularNormalItal"/>
          <w:i/>
          <w:iCs/>
          <w:color w:val="000000"/>
          <w:sz w:val="19"/>
          <w:szCs w:val="19"/>
        </w:rPr>
        <w:t xml:space="preserve">Methods </w:t>
      </w:r>
      <w:r>
        <w:rPr>
          <w:rFonts w:ascii="Myriad-Roman" w:hAnsi="Myriad-Roman" w:cs="Myriad-Roman"/>
          <w:color w:val="000000"/>
          <w:sz w:val="19"/>
          <w:szCs w:val="19"/>
        </w:rPr>
        <w:t>Relevant datasets were identified using online searches; they were excluded if they had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low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 xml:space="preserve"> sample sizes, were assembled prior to 1990 or on only one occasion, were not potentially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accessible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>, or were limited to a specific population. Remaining datasets were assessed according to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content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>, sampling frame and size, timing and ability to be used to assess inequalities and regional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trends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>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r>
        <w:rPr>
          <w:rFonts w:ascii="MyriadMM400600RegularNormalItal" w:hAnsi="MyriadMM400600RegularNormalItal" w:cs="MyriadMM400600RegularNormalItal"/>
          <w:i/>
          <w:iCs/>
          <w:color w:val="000000"/>
          <w:sz w:val="19"/>
          <w:szCs w:val="19"/>
        </w:rPr>
        <w:t xml:space="preserve">Results </w:t>
      </w:r>
      <w:r>
        <w:rPr>
          <w:rFonts w:ascii="Myriad-Roman" w:hAnsi="Myriad-Roman" w:cs="Myriad-Roman"/>
          <w:color w:val="000000"/>
          <w:sz w:val="19"/>
          <w:szCs w:val="19"/>
        </w:rPr>
        <w:t>A total of 96 datasets were identified, but only 11 had the potential to be used to assess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trends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>. Eight of these contained data on physical activity, 8 on diet and 3 on obesity. The period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over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 xml:space="preserve"> which trends might be assessed varied from 2 years to over 10, with over half of the datasets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expected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 xml:space="preserve"> to continue data collection into the future. Most had the potential to be used to assess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inequalities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 xml:space="preserve"> and also regional and sub-regional level trends, albeit with relatively small sample sizes.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r>
        <w:rPr>
          <w:rFonts w:ascii="Myriad-Roman" w:hAnsi="Myriad-Roman" w:cs="Myriad-Roman"/>
          <w:color w:val="000000"/>
          <w:sz w:val="19"/>
          <w:szCs w:val="19"/>
        </w:rPr>
        <w:t>There were some limitations to the datasets, such as non-objective measures of diet and physical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activity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 xml:space="preserve"> and, in some, low response rates, which would require further consideration when utilizing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individual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 xml:space="preserve"> datasets.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r>
        <w:rPr>
          <w:rFonts w:ascii="MyriadMM400600RegularNormalItal" w:hAnsi="MyriadMM400600RegularNormalItal" w:cs="MyriadMM400600RegularNormalItal"/>
          <w:i/>
          <w:iCs/>
          <w:color w:val="000000"/>
          <w:sz w:val="19"/>
          <w:szCs w:val="19"/>
        </w:rPr>
        <w:t xml:space="preserve">Conclusions </w:t>
      </w:r>
      <w:r>
        <w:rPr>
          <w:rFonts w:ascii="Myriad-Roman" w:hAnsi="Myriad-Roman" w:cs="Myriad-Roman"/>
          <w:color w:val="000000"/>
          <w:sz w:val="19"/>
          <w:szCs w:val="19"/>
        </w:rPr>
        <w:t>Awareness of the potential of secondary datasets for monitoring trends in childhood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obesity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 xml:space="preserve"> should be raised, alongside the financial and intellectual capacity to enhance and exploit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9"/>
          <w:szCs w:val="19"/>
        </w:rPr>
      </w:pPr>
      <w:proofErr w:type="gramStart"/>
      <w:r>
        <w:rPr>
          <w:rFonts w:ascii="Myriad-Roman" w:hAnsi="Myriad-Roman" w:cs="Myriad-Roman"/>
          <w:color w:val="000000"/>
          <w:sz w:val="19"/>
          <w:szCs w:val="19"/>
        </w:rPr>
        <w:t>them</w:t>
      </w:r>
      <w:proofErr w:type="gramEnd"/>
      <w:r>
        <w:rPr>
          <w:rFonts w:ascii="Myriad-Roman" w:hAnsi="Myriad-Roman" w:cs="Myriad-Roman"/>
          <w:color w:val="000000"/>
          <w:sz w:val="19"/>
          <w:szCs w:val="19"/>
        </w:rPr>
        <w:t>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</w:rPr>
      </w:pPr>
      <w:r>
        <w:rPr>
          <w:rFonts w:ascii="Myriad-Bold" w:hAnsi="Myriad-Bold" w:cs="Myriad-Bold"/>
          <w:b/>
          <w:bCs/>
          <w:color w:val="000000"/>
        </w:rPr>
        <w:t>Introduction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r>
        <w:rPr>
          <w:rFonts w:ascii="Minion-Regular" w:hAnsi="Minion-Regular" w:cs="Minion-Regular"/>
          <w:color w:val="000000"/>
          <w:sz w:val="19"/>
          <w:szCs w:val="19"/>
        </w:rPr>
        <w:t>The prevalence of obesity in children has increased alarmingly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proofErr w:type="gramStart"/>
      <w:r>
        <w:rPr>
          <w:rFonts w:ascii="Minion-Regular" w:hAnsi="Minion-Regular" w:cs="Minion-Regular"/>
          <w:color w:val="000000"/>
          <w:sz w:val="19"/>
          <w:szCs w:val="19"/>
        </w:rPr>
        <w:t>in</w:t>
      </w:r>
      <w:proofErr w:type="gramEnd"/>
      <w:r>
        <w:rPr>
          <w:rFonts w:ascii="Minion-Regular" w:hAnsi="Minion-Regular" w:cs="Minion-Regular"/>
          <w:color w:val="000000"/>
          <w:sz w:val="19"/>
          <w:szCs w:val="19"/>
        </w:rPr>
        <w:t xml:space="preserve"> recent years, both in the UK and the rest of the western world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proofErr w:type="gramStart"/>
      <w:r>
        <w:rPr>
          <w:rFonts w:ascii="Minion-Regular" w:hAnsi="Minion-Regular" w:cs="Minion-Regular"/>
          <w:color w:val="000000"/>
          <w:sz w:val="19"/>
          <w:szCs w:val="19"/>
        </w:rPr>
        <w:t xml:space="preserve">(House of Commons Health Committee 2004; </w:t>
      </w:r>
      <w:proofErr w:type="spellStart"/>
      <w:r>
        <w:rPr>
          <w:rFonts w:ascii="Minion-Regular" w:hAnsi="Minion-Regular" w:cs="Minion-Regular"/>
          <w:color w:val="000000"/>
          <w:sz w:val="19"/>
          <w:szCs w:val="19"/>
        </w:rPr>
        <w:t>Lobstein</w:t>
      </w:r>
      <w:proofErr w:type="spellEnd"/>
      <w:r>
        <w:rPr>
          <w:rFonts w:ascii="Minion-Regular" w:hAnsi="Minion-Regular" w:cs="Minion-Regular"/>
          <w:color w:val="000000"/>
          <w:sz w:val="19"/>
          <w:szCs w:val="19"/>
        </w:rPr>
        <w:t xml:space="preserve"> </w:t>
      </w:r>
      <w:r>
        <w:rPr>
          <w:rFonts w:ascii="Minion-Italic" w:hAnsi="Minion-Italic" w:cs="Minion-Italic"/>
          <w:i/>
          <w:iCs/>
          <w:color w:val="000000"/>
          <w:sz w:val="19"/>
          <w:szCs w:val="19"/>
        </w:rPr>
        <w:t>et al</w:t>
      </w:r>
      <w:r>
        <w:rPr>
          <w:rFonts w:ascii="Minion-Regular" w:hAnsi="Minion-Regular" w:cs="Minion-Regular"/>
          <w:color w:val="000000"/>
          <w:sz w:val="19"/>
          <w:szCs w:val="19"/>
        </w:rPr>
        <w:t>.</w:t>
      </w:r>
      <w:proofErr w:type="gramEnd"/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proofErr w:type="gramStart"/>
      <w:r>
        <w:rPr>
          <w:rFonts w:ascii="Minion-Regular" w:hAnsi="Minion-Regular" w:cs="Minion-Regular"/>
          <w:color w:val="000000"/>
          <w:sz w:val="19"/>
          <w:szCs w:val="19"/>
        </w:rPr>
        <w:t xml:space="preserve">2004; Janssen </w:t>
      </w:r>
      <w:r>
        <w:rPr>
          <w:rFonts w:ascii="Minion-Italic" w:hAnsi="Minion-Italic" w:cs="Minion-Italic"/>
          <w:i/>
          <w:iCs/>
          <w:color w:val="000000"/>
          <w:sz w:val="19"/>
          <w:szCs w:val="19"/>
        </w:rPr>
        <w:t>et al</w:t>
      </w:r>
      <w:r>
        <w:rPr>
          <w:rFonts w:ascii="Minion-Regular" w:hAnsi="Minion-Regular" w:cs="Minion-Regular"/>
          <w:color w:val="000000"/>
          <w:sz w:val="19"/>
          <w:szCs w:val="19"/>
        </w:rPr>
        <w:t>. 2005).</w:t>
      </w:r>
      <w:proofErr w:type="gramEnd"/>
      <w:r>
        <w:rPr>
          <w:rFonts w:ascii="Minion-Regular" w:hAnsi="Minion-Regular" w:cs="Minion-Regular"/>
          <w:color w:val="000000"/>
          <w:sz w:val="19"/>
          <w:szCs w:val="19"/>
        </w:rPr>
        <w:t xml:space="preserve"> This rise is thought to be due to an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proofErr w:type="gramStart"/>
      <w:r>
        <w:rPr>
          <w:rFonts w:ascii="Minion-Regular" w:hAnsi="Minion-Regular" w:cs="Minion-Regular"/>
          <w:color w:val="000000"/>
          <w:sz w:val="19"/>
          <w:szCs w:val="19"/>
        </w:rPr>
        <w:t>increasingly</w:t>
      </w:r>
      <w:proofErr w:type="gramEnd"/>
      <w:r>
        <w:rPr>
          <w:rFonts w:ascii="Minion-Regular" w:hAnsi="Minion-Regular" w:cs="Minion-Regular"/>
          <w:color w:val="000000"/>
          <w:sz w:val="19"/>
          <w:szCs w:val="19"/>
        </w:rPr>
        <w:t xml:space="preserve"> </w:t>
      </w:r>
      <w:proofErr w:type="spellStart"/>
      <w:r>
        <w:rPr>
          <w:rFonts w:ascii="Minion-Regular" w:hAnsi="Minion-Regular" w:cs="Minion-Regular"/>
          <w:color w:val="000000"/>
          <w:sz w:val="19"/>
          <w:szCs w:val="19"/>
        </w:rPr>
        <w:t>obesogenic</w:t>
      </w:r>
      <w:proofErr w:type="spellEnd"/>
      <w:r>
        <w:rPr>
          <w:rFonts w:ascii="Minion-Regular" w:hAnsi="Minion-Regular" w:cs="Minion-Regular"/>
          <w:color w:val="000000"/>
          <w:sz w:val="19"/>
          <w:szCs w:val="19"/>
        </w:rPr>
        <w:t xml:space="preserve"> environment which promotes excessive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proofErr w:type="gramStart"/>
      <w:r>
        <w:rPr>
          <w:rFonts w:ascii="Minion-Regular" w:hAnsi="Minion-Regular" w:cs="Minion-Regular"/>
          <w:color w:val="000000"/>
          <w:sz w:val="19"/>
          <w:szCs w:val="19"/>
        </w:rPr>
        <w:t>food</w:t>
      </w:r>
      <w:proofErr w:type="gramEnd"/>
      <w:r>
        <w:rPr>
          <w:rFonts w:ascii="Minion-Regular" w:hAnsi="Minion-Regular" w:cs="Minion-Regular"/>
          <w:color w:val="000000"/>
          <w:sz w:val="19"/>
          <w:szCs w:val="19"/>
        </w:rPr>
        <w:t xml:space="preserve"> intake and discourages physical activity (Hill &amp; Peters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r>
        <w:rPr>
          <w:rFonts w:ascii="Minion-Regular" w:hAnsi="Minion-Regular" w:cs="Minion-Regular"/>
          <w:color w:val="000000"/>
          <w:sz w:val="19"/>
          <w:szCs w:val="19"/>
        </w:rPr>
        <w:t>1998). Data from the Health Survey for England (HSE) and the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r>
        <w:rPr>
          <w:rFonts w:ascii="Minion-Regular" w:hAnsi="Minion-Regular" w:cs="Minion-Regular"/>
          <w:color w:val="000000"/>
          <w:sz w:val="19"/>
          <w:szCs w:val="19"/>
        </w:rPr>
        <w:t>UK National Diet and Nutrition Survey show that consumption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proofErr w:type="gramStart"/>
      <w:r>
        <w:rPr>
          <w:rFonts w:ascii="Minion-Regular" w:hAnsi="Minion-Regular" w:cs="Minion-Regular"/>
          <w:color w:val="000000"/>
          <w:sz w:val="19"/>
          <w:szCs w:val="19"/>
        </w:rPr>
        <w:t>of</w:t>
      </w:r>
      <w:proofErr w:type="gramEnd"/>
      <w:r>
        <w:rPr>
          <w:rFonts w:ascii="Minion-Regular" w:hAnsi="Minion-Regular" w:cs="Minion-Regular"/>
          <w:color w:val="000000"/>
          <w:sz w:val="19"/>
          <w:szCs w:val="19"/>
        </w:rPr>
        <w:t xml:space="preserve"> fruit and vegetables and participation in physical activity is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proofErr w:type="gramStart"/>
      <w:r>
        <w:rPr>
          <w:rFonts w:ascii="Minion-Regular" w:hAnsi="Minion-Regular" w:cs="Minion-Regular"/>
          <w:color w:val="000000"/>
          <w:sz w:val="19"/>
          <w:szCs w:val="19"/>
        </w:rPr>
        <w:t>below</w:t>
      </w:r>
      <w:proofErr w:type="gramEnd"/>
      <w:r>
        <w:rPr>
          <w:rFonts w:ascii="Minion-Regular" w:hAnsi="Minion-Regular" w:cs="Minion-Regular"/>
          <w:color w:val="000000"/>
          <w:sz w:val="19"/>
          <w:szCs w:val="19"/>
        </w:rPr>
        <w:t xml:space="preserve"> recommended levels for children (</w:t>
      </w:r>
      <w:proofErr w:type="spellStart"/>
      <w:r>
        <w:rPr>
          <w:rFonts w:ascii="Minion-Regular" w:hAnsi="Minion-Regular" w:cs="Minion-Regular"/>
          <w:color w:val="000000"/>
          <w:sz w:val="19"/>
          <w:szCs w:val="19"/>
        </w:rPr>
        <w:t>Deverill</w:t>
      </w:r>
      <w:proofErr w:type="spellEnd"/>
      <w:r>
        <w:rPr>
          <w:rFonts w:ascii="Minion-Regular" w:hAnsi="Minion-Regular" w:cs="Minion-Regular"/>
          <w:color w:val="000000"/>
          <w:sz w:val="19"/>
          <w:szCs w:val="19"/>
        </w:rPr>
        <w:t xml:space="preserve"> 2002; Livingstone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proofErr w:type="gramStart"/>
      <w:r>
        <w:rPr>
          <w:rFonts w:ascii="Minion-Italic" w:hAnsi="Minion-Italic" w:cs="Minion-Italic"/>
          <w:i/>
          <w:iCs/>
          <w:color w:val="000000"/>
          <w:sz w:val="19"/>
          <w:szCs w:val="19"/>
        </w:rPr>
        <w:t>et</w:t>
      </w:r>
      <w:proofErr w:type="gramEnd"/>
      <w:r>
        <w:rPr>
          <w:rFonts w:ascii="Minion-Italic" w:hAnsi="Minion-Italic" w:cs="Minion-Italic"/>
          <w:i/>
          <w:iCs/>
          <w:color w:val="000000"/>
          <w:sz w:val="19"/>
          <w:szCs w:val="19"/>
        </w:rPr>
        <w:t xml:space="preserve"> al</w:t>
      </w:r>
      <w:r>
        <w:rPr>
          <w:rFonts w:ascii="Minion-Regular" w:hAnsi="Minion-Regular" w:cs="Minion-Regular"/>
          <w:color w:val="000000"/>
          <w:sz w:val="19"/>
          <w:szCs w:val="19"/>
        </w:rPr>
        <w:t>. 2003).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r>
        <w:rPr>
          <w:rFonts w:ascii="Minion-Regular" w:hAnsi="Minion-Regular" w:cs="Minion-Regular"/>
          <w:color w:val="000000"/>
          <w:sz w:val="19"/>
          <w:szCs w:val="19"/>
        </w:rPr>
        <w:t>Trends in overweight and obesity are socially patterned, with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proofErr w:type="gramStart"/>
      <w:r>
        <w:rPr>
          <w:rFonts w:ascii="Minion-Regular" w:hAnsi="Minion-Regular" w:cs="Minion-Regular"/>
          <w:color w:val="000000"/>
          <w:sz w:val="19"/>
          <w:szCs w:val="19"/>
        </w:rPr>
        <w:t>higher</w:t>
      </w:r>
      <w:proofErr w:type="gramEnd"/>
      <w:r>
        <w:rPr>
          <w:rFonts w:ascii="Minion-Regular" w:hAnsi="Minion-Regular" w:cs="Minion-Regular"/>
          <w:color w:val="000000"/>
          <w:sz w:val="19"/>
          <w:szCs w:val="19"/>
        </w:rPr>
        <w:t xml:space="preserve"> rates being experienced in areas of deprivation, low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proofErr w:type="gramStart"/>
      <w:r>
        <w:rPr>
          <w:rFonts w:ascii="Minion-Regular" w:hAnsi="Minion-Regular" w:cs="Minion-Regular"/>
          <w:color w:val="000000"/>
          <w:sz w:val="19"/>
          <w:szCs w:val="19"/>
        </w:rPr>
        <w:lastRenderedPageBreak/>
        <w:t>income</w:t>
      </w:r>
      <w:proofErr w:type="gramEnd"/>
      <w:r>
        <w:rPr>
          <w:rFonts w:ascii="Minion-Regular" w:hAnsi="Minion-Regular" w:cs="Minion-Regular"/>
          <w:color w:val="000000"/>
          <w:sz w:val="19"/>
          <w:szCs w:val="19"/>
        </w:rPr>
        <w:t xml:space="preserve"> households, lower socio-economic groups and inner</w:t>
      </w:r>
    </w:p>
    <w:p w:rsidR="00DD016C" w:rsidRP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  <w:lang w:val="fi-FI"/>
        </w:rPr>
      </w:pPr>
      <w:r w:rsidRPr="00DD016C">
        <w:rPr>
          <w:rFonts w:ascii="Minion-Regular" w:hAnsi="Minion-Regular" w:cs="Minion-Regular"/>
          <w:color w:val="000000"/>
          <w:sz w:val="19"/>
          <w:szCs w:val="19"/>
          <w:lang w:val="fi-FI"/>
        </w:rPr>
        <w:t xml:space="preserve">city areas (Saxena </w:t>
      </w:r>
      <w:r w:rsidRPr="00DD016C">
        <w:rPr>
          <w:rFonts w:ascii="Minion-Italic" w:hAnsi="Minion-Italic" w:cs="Minion-Italic"/>
          <w:i/>
          <w:iCs/>
          <w:color w:val="000000"/>
          <w:sz w:val="19"/>
          <w:szCs w:val="19"/>
          <w:lang w:val="fi-FI"/>
        </w:rPr>
        <w:t>et al</w:t>
      </w:r>
      <w:r w:rsidRPr="00DD016C">
        <w:rPr>
          <w:rFonts w:ascii="Minion-Regular" w:hAnsi="Minion-Regular" w:cs="Minion-Regular"/>
          <w:color w:val="000000"/>
          <w:sz w:val="19"/>
          <w:szCs w:val="19"/>
          <w:lang w:val="fi-FI"/>
        </w:rPr>
        <w:t xml:space="preserve">. 2004; Jotangia </w:t>
      </w:r>
      <w:r w:rsidRPr="00DD016C">
        <w:rPr>
          <w:rFonts w:ascii="Minion-Italic" w:hAnsi="Minion-Italic" w:cs="Minion-Italic"/>
          <w:i/>
          <w:iCs/>
          <w:color w:val="000000"/>
          <w:sz w:val="19"/>
          <w:szCs w:val="19"/>
          <w:lang w:val="fi-FI"/>
        </w:rPr>
        <w:t>et al</w:t>
      </w:r>
      <w:r w:rsidRPr="00DD016C">
        <w:rPr>
          <w:rFonts w:ascii="Minion-Regular" w:hAnsi="Minion-Regular" w:cs="Minion-Regular"/>
          <w:color w:val="000000"/>
          <w:sz w:val="19"/>
          <w:szCs w:val="19"/>
          <w:lang w:val="fi-FI"/>
        </w:rPr>
        <w:t>. 2005; Stamatakis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r w:rsidRPr="00DD016C">
        <w:rPr>
          <w:rFonts w:ascii="Minion-Italic" w:hAnsi="Minion-Italic" w:cs="Minion-Italic"/>
          <w:i/>
          <w:iCs/>
          <w:color w:val="000000"/>
          <w:sz w:val="19"/>
          <w:szCs w:val="19"/>
          <w:lang w:val="da-DK"/>
        </w:rPr>
        <w:t>et al</w:t>
      </w:r>
      <w:r w:rsidRPr="00DD016C">
        <w:rPr>
          <w:rFonts w:ascii="Minion-Regular" w:hAnsi="Minion-Regular" w:cs="Minion-Regular"/>
          <w:color w:val="000000"/>
          <w:sz w:val="19"/>
          <w:szCs w:val="19"/>
          <w:lang w:val="da-DK"/>
        </w:rPr>
        <w:t xml:space="preserve">. 2005; Taylor </w:t>
      </w:r>
      <w:r w:rsidRPr="00DD016C">
        <w:rPr>
          <w:rFonts w:ascii="Minion-Italic" w:hAnsi="Minion-Italic" w:cs="Minion-Italic"/>
          <w:i/>
          <w:iCs/>
          <w:color w:val="000000"/>
          <w:sz w:val="19"/>
          <w:szCs w:val="19"/>
          <w:lang w:val="da-DK"/>
        </w:rPr>
        <w:t>et al</w:t>
      </w:r>
      <w:r w:rsidRPr="00DD016C">
        <w:rPr>
          <w:rFonts w:ascii="Minion-Regular" w:hAnsi="Minion-Regular" w:cs="Minion-Regular"/>
          <w:color w:val="000000"/>
          <w:sz w:val="19"/>
          <w:szCs w:val="19"/>
          <w:lang w:val="da-DK"/>
        </w:rPr>
        <w:t xml:space="preserve">. 2005). </w:t>
      </w:r>
      <w:r>
        <w:rPr>
          <w:rFonts w:ascii="Minion-Regular" w:hAnsi="Minion-Regular" w:cs="Minion-Regular"/>
          <w:color w:val="000000"/>
          <w:sz w:val="19"/>
          <w:szCs w:val="19"/>
        </w:rPr>
        <w:t>Inequalities in physical activity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proofErr w:type="gramStart"/>
      <w:r>
        <w:rPr>
          <w:rFonts w:ascii="Minion-Regular" w:hAnsi="Minion-Regular" w:cs="Minion-Regular"/>
          <w:color w:val="000000"/>
          <w:sz w:val="19"/>
          <w:szCs w:val="19"/>
        </w:rPr>
        <w:t>and</w:t>
      </w:r>
      <w:proofErr w:type="gramEnd"/>
      <w:r>
        <w:rPr>
          <w:rFonts w:ascii="Minion-Regular" w:hAnsi="Minion-Regular" w:cs="Minion-Regular"/>
          <w:color w:val="000000"/>
          <w:sz w:val="19"/>
          <w:szCs w:val="19"/>
        </w:rPr>
        <w:t xml:space="preserve"> diet have also been observed. Adolescents from less affluent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9"/>
          <w:szCs w:val="19"/>
        </w:rPr>
      </w:pPr>
      <w:proofErr w:type="gramStart"/>
      <w:r>
        <w:rPr>
          <w:rFonts w:ascii="Minion-Regular" w:hAnsi="Minion-Regular" w:cs="Minion-Regular"/>
          <w:color w:val="000000"/>
          <w:sz w:val="19"/>
          <w:szCs w:val="19"/>
        </w:rPr>
        <w:t>families</w:t>
      </w:r>
      <w:proofErr w:type="gramEnd"/>
      <w:r>
        <w:rPr>
          <w:rFonts w:ascii="Minion-Regular" w:hAnsi="Minion-Regular" w:cs="Minion-Regular"/>
          <w:color w:val="000000"/>
          <w:sz w:val="19"/>
          <w:szCs w:val="19"/>
        </w:rPr>
        <w:t xml:space="preserve"> are less likely to achieve recommended levels of physical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GaramondITCbyBT-LightCondensed" w:hAnsi="GaramondITCbyBT-LightCondensed" w:cs="GaramondITCbyBT-LightCondensed"/>
          <w:color w:val="FFFFFF"/>
          <w:sz w:val="37"/>
          <w:szCs w:val="37"/>
        </w:rPr>
      </w:pPr>
      <w:r>
        <w:rPr>
          <w:rFonts w:ascii="GaramondITCbyBT-LightCondensed" w:hAnsi="GaramondITCbyBT-LightCondensed" w:cs="GaramondITCbyBT-LightCondensed"/>
          <w:color w:val="FFFFFF"/>
          <w:sz w:val="63"/>
          <w:szCs w:val="63"/>
        </w:rPr>
        <w:t xml:space="preserve">Child: </w:t>
      </w:r>
      <w:r>
        <w:rPr>
          <w:rFonts w:ascii="GaramondITCbyBT-LightCondensed" w:hAnsi="GaramondITCbyBT-LightCondensed" w:cs="GaramondITCbyBT-LightCondensed"/>
          <w:color w:val="FFFFFF"/>
          <w:sz w:val="37"/>
          <w:szCs w:val="37"/>
        </w:rPr>
        <w:t>care, health and development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5"/>
          <w:szCs w:val="15"/>
        </w:rPr>
      </w:pPr>
      <w:r>
        <w:rPr>
          <w:rFonts w:ascii="Myriad-Roman" w:hAnsi="Myriad-Roman" w:cs="Myriad-Roman"/>
          <w:color w:val="000000"/>
          <w:sz w:val="28"/>
          <w:szCs w:val="28"/>
        </w:rPr>
        <w:t xml:space="preserve">Original Article </w:t>
      </w:r>
      <w:r>
        <w:rPr>
          <w:rFonts w:ascii="Myriad-Roman" w:hAnsi="Myriad-Roman" w:cs="Myriad-Roman"/>
          <w:color w:val="000000"/>
          <w:sz w:val="15"/>
          <w:szCs w:val="15"/>
        </w:rPr>
        <w:t>doi:10.1111/j.1365-2214.2008.00856.x</w:t>
      </w:r>
    </w:p>
    <w:p w:rsidR="00DD016C" w:rsidRDefault="00DD016C" w:rsidP="00DD016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  <w:color w:val="000000"/>
          <w:sz w:val="14"/>
          <w:szCs w:val="14"/>
        </w:rPr>
      </w:pPr>
      <w:r>
        <w:rPr>
          <w:rFonts w:ascii="Myriad-Roman" w:hAnsi="Myriad-Roman" w:cs="Myriad-Roman"/>
          <w:color w:val="000000"/>
          <w:sz w:val="14"/>
          <w:szCs w:val="14"/>
        </w:rPr>
        <w:t>© 2008 The Authors</w:t>
      </w:r>
    </w:p>
    <w:p w:rsidR="00DD016C" w:rsidRDefault="00DD016C" w:rsidP="00DD016C">
      <w:r>
        <w:rPr>
          <w:rFonts w:ascii="Myriad-Roman" w:hAnsi="Myriad-Roman" w:cs="Myriad-Roman"/>
          <w:color w:val="000000"/>
          <w:sz w:val="14"/>
          <w:szCs w:val="14"/>
        </w:rPr>
        <w:t xml:space="preserve">Journal compilation © 2008 Blackwell Publishing Ltd </w:t>
      </w:r>
      <w:r>
        <w:rPr>
          <w:rFonts w:ascii="Myriad-Bold" w:hAnsi="Myriad-Bold" w:cs="Myriad-Bold"/>
          <w:b/>
          <w:bCs/>
          <w:color w:val="000000"/>
          <w:sz w:val="16"/>
          <w:szCs w:val="16"/>
        </w:rPr>
        <w:t>701</w:t>
      </w:r>
    </w:p>
    <w:sectPr w:rsidR="00DD016C" w:rsidSect="00B9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bo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imes-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MP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FG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ime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Sy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imes-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SPS-A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978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972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979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977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MT_S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MT_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MM400600RegularNormal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ITCbyBT-Light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2E46B5"/>
    <w:rsid w:val="000020FC"/>
    <w:rsid w:val="002E46B5"/>
    <w:rsid w:val="00B96677"/>
    <w:rsid w:val="00DD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ltslab</dc:creator>
  <cp:keywords/>
  <dc:description/>
  <cp:lastModifiedBy>ltslab</cp:lastModifiedBy>
  <cp:revision>1</cp:revision>
  <dcterms:created xsi:type="dcterms:W3CDTF">2011-04-11T22:06:00Z</dcterms:created>
  <dcterms:modified xsi:type="dcterms:W3CDTF">2011-04-11T22:14:00Z</dcterms:modified>
</cp:coreProperties>
</file>