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24" w:rsidRDefault="006D12AD" w:rsidP="00E44724">
      <w:pPr>
        <w:jc w:val="center"/>
      </w:pPr>
      <w:r>
        <w:rPr>
          <w:rStyle w:val="CommentReference"/>
        </w:rPr>
        <w:commentReference w:id="0"/>
      </w:r>
    </w:p>
    <w:p w:rsidR="00E44724" w:rsidRPr="003D0994" w:rsidRDefault="003D0994" w:rsidP="00E44724">
      <w:pPr>
        <w:jc w:val="center"/>
        <w:rPr>
          <w:color w:val="FF0000"/>
        </w:rPr>
      </w:pPr>
      <w:r w:rsidRPr="003D0994">
        <w:rPr>
          <w:color w:val="FF0000"/>
        </w:rPr>
        <w:t>14/15</w:t>
      </w:r>
    </w:p>
    <w:p w:rsidR="004963E3" w:rsidRDefault="00E44724" w:rsidP="00E44724">
      <w:pPr>
        <w:jc w:val="center"/>
      </w:pPr>
      <w:r>
        <w:t>Case Study 5- Frailty</w:t>
      </w:r>
    </w:p>
    <w:p w:rsidR="00E44724" w:rsidRDefault="00E44724" w:rsidP="00E44724">
      <w:pPr>
        <w:jc w:val="center"/>
      </w:pPr>
      <w:r>
        <w:t xml:space="preserve">Stephanie </w:t>
      </w:r>
      <w:proofErr w:type="spellStart"/>
      <w:r>
        <w:t>Gehring</w:t>
      </w:r>
      <w:proofErr w:type="spellEnd"/>
    </w:p>
    <w:p w:rsidR="00E44724" w:rsidRDefault="00E44724" w:rsidP="00E44724">
      <w:pPr>
        <w:jc w:val="center"/>
      </w:pPr>
      <w:proofErr w:type="spellStart"/>
      <w:r>
        <w:t>Gerontological</w:t>
      </w:r>
      <w:proofErr w:type="spellEnd"/>
      <w:r>
        <w:t xml:space="preserve"> Nursing</w:t>
      </w:r>
    </w:p>
    <w:p w:rsidR="00E44724" w:rsidRDefault="00E44724" w:rsidP="00E44724">
      <w:pPr>
        <w:jc w:val="center"/>
      </w:pPr>
      <w:r>
        <w:t>Lakeview College of Nursing</w:t>
      </w: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p>
    <w:p w:rsidR="00E44724" w:rsidRDefault="00E44724" w:rsidP="00E44724">
      <w:pPr>
        <w:jc w:val="center"/>
      </w:pPr>
      <w:r>
        <w:lastRenderedPageBreak/>
        <w:t>Case Study 5- Frailty</w:t>
      </w:r>
    </w:p>
    <w:p w:rsidR="00E44724" w:rsidRDefault="00E44724" w:rsidP="00E44724">
      <w:r>
        <w:t xml:space="preserve">1.  According to </w:t>
      </w:r>
      <w:proofErr w:type="spellStart"/>
      <w:r>
        <w:t>Mauk</w:t>
      </w:r>
      <w:proofErr w:type="spellEnd"/>
      <w:r>
        <w:t xml:space="preserve"> (2010) the definitions for frailty, disability, and co-morbidity </w:t>
      </w:r>
      <w:commentRangeStart w:id="1"/>
      <w:r>
        <w:t>are as follows:</w:t>
      </w:r>
    </w:p>
    <w:p w:rsidR="00E44724" w:rsidRDefault="00E44724" w:rsidP="00E44724">
      <w:r>
        <w:t>Frailty:  perceived as a general decline in the function of older adults</w:t>
      </w:r>
      <w:r w:rsidR="00174CF1">
        <w:t xml:space="preserve"> that can increase vulnerability to illness and decline</w:t>
      </w:r>
    </w:p>
    <w:p w:rsidR="00174CF1" w:rsidRDefault="00174CF1" w:rsidP="00E44724">
      <w:r>
        <w:t>Disability: physical impairment</w:t>
      </w:r>
      <w:r w:rsidR="00586AA1">
        <w:t xml:space="preserve"> and inability to carry out ADLs.</w:t>
      </w:r>
    </w:p>
    <w:p w:rsidR="00174CF1" w:rsidRDefault="00586AA1" w:rsidP="00E44724">
      <w:r>
        <w:t>Co-morbidity: the occurrence of two or more distinguishably different disease processes in a person (</w:t>
      </w:r>
      <w:proofErr w:type="spellStart"/>
      <w:r>
        <w:t>Benefield</w:t>
      </w:r>
      <w:proofErr w:type="spellEnd"/>
      <w:r w:rsidR="003D0994">
        <w:rPr>
          <w:color w:val="FF0000"/>
        </w:rPr>
        <w:t>,</w:t>
      </w:r>
      <w:r>
        <w:t xml:space="preserve"> 2007).</w:t>
      </w:r>
    </w:p>
    <w:commentRangeEnd w:id="1"/>
    <w:p w:rsidR="00174CF1" w:rsidRDefault="006D12AD" w:rsidP="00E44724">
      <w:r>
        <w:rPr>
          <w:rStyle w:val="CommentReference"/>
        </w:rPr>
        <w:commentReference w:id="1"/>
      </w:r>
      <w:r w:rsidR="00174CF1">
        <w:t xml:space="preserve">All of these things are related. Frailty can be a co-morbidity leading to the decline of the </w:t>
      </w:r>
      <w:proofErr w:type="spellStart"/>
      <w:r w:rsidR="00174CF1">
        <w:t>gerontological</w:t>
      </w:r>
      <w:proofErr w:type="spellEnd"/>
      <w:r w:rsidR="00174CF1">
        <w:t xml:space="preserve"> patient. Frailty is also a disability which leads to physical inability of the patient to take care of </w:t>
      </w:r>
      <w:proofErr w:type="gramStart"/>
      <w:r w:rsidR="00174CF1">
        <w:t>themselves</w:t>
      </w:r>
      <w:proofErr w:type="gramEnd"/>
      <w:r w:rsidR="00174CF1">
        <w:t xml:space="preserve"> and increases the risk of falls which can be a co-morbidity.</w:t>
      </w:r>
      <w:r w:rsidR="001B4475">
        <w:t xml:space="preserve"> Disability can also lead to a person’s frailty.</w:t>
      </w:r>
      <w:r w:rsidR="00174CF1">
        <w:t xml:space="preserve"> These three terms are very closely interrelated and usually go hand in hand.</w:t>
      </w:r>
    </w:p>
    <w:p w:rsidR="00174CF1" w:rsidRDefault="00174CF1" w:rsidP="00E44724">
      <w:r>
        <w:t xml:space="preserve">2.  A syndrome is a collection of clinically associated signs and symptoms </w:t>
      </w:r>
      <w:r w:rsidR="001B4475">
        <w:t xml:space="preserve">that combine together to form a diagnosis. Frailty is a syndrome because the signs and symptoms of frailty come together under the </w:t>
      </w:r>
      <w:commentRangeStart w:id="2"/>
      <w:r w:rsidR="001B4475">
        <w:t>whole</w:t>
      </w:r>
      <w:commentRangeEnd w:id="2"/>
      <w:r w:rsidR="006D12AD">
        <w:rPr>
          <w:rStyle w:val="CommentReference"/>
        </w:rPr>
        <w:commentReference w:id="2"/>
      </w:r>
      <w:r w:rsidR="001B4475">
        <w:t xml:space="preserve"> frailty umbrella. These signs and symptoms include unintentional weight loss of more than 10% in the prior year, feelings of exhaustion, grip strength in the weakest 20% for age and low caloric expenditure per week on physical activity.</w:t>
      </w:r>
    </w:p>
    <w:p w:rsidR="001B4475" w:rsidRDefault="001B4475" w:rsidP="00E44724">
      <w:r>
        <w:t>3. Using the assessment tool, Mrs. Gibson’s score was three</w:t>
      </w:r>
      <w:r w:rsidR="00586AA1">
        <w:t xml:space="preserve"> (</w:t>
      </w:r>
      <w:proofErr w:type="spellStart"/>
      <w:r w:rsidR="00586AA1">
        <w:t>Benefield</w:t>
      </w:r>
      <w:proofErr w:type="spellEnd"/>
      <w:r w:rsidR="006D12AD">
        <w:rPr>
          <w:color w:val="FF0000"/>
        </w:rPr>
        <w:t>,</w:t>
      </w:r>
      <w:r w:rsidR="00586AA1">
        <w:t xml:space="preserve"> 2007)</w:t>
      </w:r>
      <w:r>
        <w:t xml:space="preserve">. She has lost more than ten pounds of weight in the last year, she has extreme exhaustion and fatigue and very little physical activity. She was placed in a wheelchair </w:t>
      </w:r>
      <w:r w:rsidR="00586AA1">
        <w:t>due to her extremely frail state.</w:t>
      </w:r>
    </w:p>
    <w:p w:rsidR="00586AA1" w:rsidRDefault="00586AA1" w:rsidP="00E44724">
      <w:r>
        <w:t xml:space="preserve">4. The major difference between primary and secondary frailty as described in </w:t>
      </w:r>
      <w:proofErr w:type="spellStart"/>
      <w:r>
        <w:t>Benefield</w:t>
      </w:r>
      <w:proofErr w:type="spellEnd"/>
      <w:r>
        <w:t xml:space="preserve"> (2007), is that primary has no underlying, pathological causative factors. Secondary frailty originates from underlying pathological causative factors.</w:t>
      </w:r>
    </w:p>
    <w:p w:rsidR="008E6397" w:rsidRDefault="00586AA1" w:rsidP="008E6397">
      <w:pPr>
        <w:autoSpaceDE w:val="0"/>
        <w:autoSpaceDN w:val="0"/>
        <w:adjustRightInd w:val="0"/>
        <w:spacing w:after="0"/>
      </w:pPr>
      <w:r>
        <w:t xml:space="preserve">5. </w:t>
      </w:r>
      <w:r w:rsidR="008E6397">
        <w:t xml:space="preserve"> The criteria for the physiologic-based risk factors for frailty as stated in an article by Espinos</w:t>
      </w:r>
      <w:r w:rsidR="00A32803">
        <w:t>a</w:t>
      </w:r>
      <w:r w:rsidR="008E6397">
        <w:t xml:space="preserve"> (2007) are activated inflammation, decreased immune function, anemia, endocrine system alteration, and musculoskeletal alterations. Those who have activated inflammation have an increase in the amount of C-reactive protein and increased coagulation markers. This is an indication of chronic up regulation of the inflammatory response. Frail individuals also “</w:t>
      </w:r>
      <w:r w:rsidR="008E6397" w:rsidRPr="00A32803">
        <w:t xml:space="preserve">have decreased ability to proliferate their peripheral blood mononuclear cells (PBMCs) when stimulated with the </w:t>
      </w:r>
      <w:proofErr w:type="spellStart"/>
      <w:r w:rsidR="008E6397" w:rsidRPr="00A32803">
        <w:t>endotoxin</w:t>
      </w:r>
      <w:proofErr w:type="spellEnd"/>
      <w:r w:rsidR="008E6397" w:rsidRPr="00A32803">
        <w:t xml:space="preserve"> </w:t>
      </w:r>
      <w:proofErr w:type="spellStart"/>
      <w:r w:rsidR="008E6397" w:rsidRPr="00A32803">
        <w:t>lipopolysaccharide</w:t>
      </w:r>
      <w:proofErr w:type="spellEnd"/>
      <w:r w:rsidR="008E6397" w:rsidRPr="00A32803">
        <w:t>, as would occur with some acute bacterial infections, and that the PBMCs of frail individuals have increased production of interleukin-6, a marker of inflammation”</w:t>
      </w:r>
      <w:r w:rsidR="00A32803" w:rsidRPr="00A32803">
        <w:t xml:space="preserve"> Espinosa (</w:t>
      </w:r>
      <w:commentRangeStart w:id="3"/>
      <w:r w:rsidR="00A32803" w:rsidRPr="00A32803">
        <w:t>2007</w:t>
      </w:r>
      <w:commentRangeEnd w:id="3"/>
      <w:r w:rsidR="006D12AD">
        <w:rPr>
          <w:rStyle w:val="CommentReference"/>
        </w:rPr>
        <w:commentReference w:id="3"/>
      </w:r>
      <w:r w:rsidR="00A32803" w:rsidRPr="00A32803">
        <w:t>).</w:t>
      </w:r>
      <w:r w:rsidR="00A32803">
        <w:t xml:space="preserve"> They are more likely to be anemic, resulting in a decreased amount of hemoglobin attaching to the red blood cells. Endocrine system alteration causes a decrease in insulin production. Muscular skeletal alterations are likely due to weight loss and nutritional problems.</w:t>
      </w:r>
    </w:p>
    <w:p w:rsidR="00A32803" w:rsidRDefault="00A32803" w:rsidP="008E6397">
      <w:pPr>
        <w:autoSpaceDE w:val="0"/>
        <w:autoSpaceDN w:val="0"/>
        <w:adjustRightInd w:val="0"/>
        <w:spacing w:after="0"/>
      </w:pPr>
    </w:p>
    <w:p w:rsidR="00A32803" w:rsidRDefault="00A32803" w:rsidP="008E6397">
      <w:pPr>
        <w:autoSpaceDE w:val="0"/>
        <w:autoSpaceDN w:val="0"/>
        <w:adjustRightInd w:val="0"/>
        <w:spacing w:after="0"/>
      </w:pPr>
      <w:r>
        <w:t>6.  The female gender has been more closely associated with frailty then males, which may be due to a larger decrease in lean muscle mass but also that more females are in poverty and unable to receive medical treatment than men. Those of higher socioeconomic status also have a decrease in the amount of frailty diagnoses then that of lower standing (</w:t>
      </w:r>
      <w:commentRangeStart w:id="4"/>
      <w:r>
        <w:t>Espinosa</w:t>
      </w:r>
      <w:commentRangeEnd w:id="4"/>
      <w:r w:rsidR="006D12AD">
        <w:rPr>
          <w:rStyle w:val="CommentReference"/>
        </w:rPr>
        <w:commentReference w:id="4"/>
      </w:r>
      <w:r w:rsidR="006D12AD">
        <w:rPr>
          <w:color w:val="FF0000"/>
        </w:rPr>
        <w:t>,</w:t>
      </w:r>
      <w:r>
        <w:t xml:space="preserve"> 2007).Another correlation is found between those of minority races then the Caucasian population. There are also correlations between depression and frailty stating that depression often leads to frailty in the older adult (Espinosa</w:t>
      </w:r>
      <w:r w:rsidR="006D12AD">
        <w:rPr>
          <w:color w:val="FF0000"/>
        </w:rPr>
        <w:t>,</w:t>
      </w:r>
      <w:r>
        <w:t xml:space="preserve"> 2007). When </w:t>
      </w:r>
      <w:r>
        <w:lastRenderedPageBreak/>
        <w:t>someone is depressed they are less likely to go out and exercise, and eat nutritionally. They are also more prone to diseases then those of healthy mental status.</w:t>
      </w:r>
    </w:p>
    <w:p w:rsidR="00A32803" w:rsidRDefault="00A32803" w:rsidP="008E6397">
      <w:pPr>
        <w:autoSpaceDE w:val="0"/>
        <w:autoSpaceDN w:val="0"/>
        <w:adjustRightInd w:val="0"/>
        <w:spacing w:after="0"/>
      </w:pPr>
    </w:p>
    <w:p w:rsidR="00A32803" w:rsidRDefault="00A32803" w:rsidP="008E6397">
      <w:pPr>
        <w:autoSpaceDE w:val="0"/>
        <w:autoSpaceDN w:val="0"/>
        <w:adjustRightInd w:val="0"/>
        <w:spacing w:after="0"/>
      </w:pPr>
      <w:r>
        <w:t>7. The presence of a disability would be a non modifiable factor for frailty</w:t>
      </w:r>
      <w:r w:rsidR="00B722E5">
        <w:t xml:space="preserve">. Also sometimes it is not possible for one to change their </w:t>
      </w:r>
      <w:proofErr w:type="spellStart"/>
      <w:r w:rsidR="00B722E5">
        <w:t>socioeconomical</w:t>
      </w:r>
      <w:proofErr w:type="spellEnd"/>
      <w:r w:rsidR="00B722E5">
        <w:t xml:space="preserve"> status and definitely not their race or gender. Most other things listed would be modifiable risk factors</w:t>
      </w:r>
      <w:r w:rsidR="00B722E5" w:rsidRPr="006D12AD">
        <w:rPr>
          <w:color w:val="FF0000"/>
        </w:rPr>
        <w:t>.</w:t>
      </w:r>
      <w:r w:rsidR="006D12AD" w:rsidRPr="006D12AD">
        <w:rPr>
          <w:color w:val="FF0000"/>
        </w:rPr>
        <w:t xml:space="preserve"> </w:t>
      </w:r>
      <w:proofErr w:type="gramStart"/>
      <w:r w:rsidR="006D12AD" w:rsidRPr="006D12AD">
        <w:rPr>
          <w:rFonts w:ascii="ITCGaramondStd-Bk" w:hAnsi="ITCGaramondStd-Bk" w:cs="ITCGaramondStd-Bk"/>
          <w:color w:val="FF0000"/>
          <w:sz w:val="20"/>
          <w:szCs w:val="20"/>
        </w:rPr>
        <w:t>Gender, race, age, and socioeconomic status.</w:t>
      </w:r>
      <w:proofErr w:type="gramEnd"/>
    </w:p>
    <w:p w:rsidR="00B722E5" w:rsidRDefault="00B722E5" w:rsidP="008E6397">
      <w:pPr>
        <w:autoSpaceDE w:val="0"/>
        <w:autoSpaceDN w:val="0"/>
        <w:adjustRightInd w:val="0"/>
        <w:spacing w:after="0"/>
      </w:pPr>
    </w:p>
    <w:p w:rsidR="00B722E5" w:rsidRDefault="00B722E5" w:rsidP="008E6397">
      <w:pPr>
        <w:autoSpaceDE w:val="0"/>
        <w:autoSpaceDN w:val="0"/>
        <w:adjustRightInd w:val="0"/>
        <w:spacing w:after="0"/>
      </w:pPr>
      <w:r>
        <w:t xml:space="preserve">8.  </w:t>
      </w:r>
      <w:r w:rsidR="00CE1383">
        <w:t xml:space="preserve">According to the article by </w:t>
      </w:r>
      <w:proofErr w:type="spellStart"/>
      <w:r w:rsidR="00CE1383">
        <w:t>Chenia</w:t>
      </w:r>
      <w:r>
        <w:t>k</w:t>
      </w:r>
      <w:proofErr w:type="spellEnd"/>
      <w:r w:rsidR="00CE1383">
        <w:t xml:space="preserve"> (2007)</w:t>
      </w:r>
      <w:r>
        <w:t xml:space="preserve"> the nutritional supplements used as an alternative medicine intervention for frailty are </w:t>
      </w:r>
      <w:proofErr w:type="spellStart"/>
      <w:r>
        <w:t>Carotenoids</w:t>
      </w:r>
      <w:proofErr w:type="spellEnd"/>
      <w:r>
        <w:t xml:space="preserve">, Vitamin D, </w:t>
      </w:r>
      <w:proofErr w:type="spellStart"/>
      <w:r>
        <w:t>Creatine</w:t>
      </w:r>
      <w:proofErr w:type="spellEnd"/>
      <w:r>
        <w:t>, and DHEA.</w:t>
      </w:r>
    </w:p>
    <w:p w:rsidR="00B722E5" w:rsidRDefault="00B722E5" w:rsidP="008E6397">
      <w:pPr>
        <w:autoSpaceDE w:val="0"/>
        <w:autoSpaceDN w:val="0"/>
        <w:adjustRightInd w:val="0"/>
        <w:spacing w:after="0"/>
      </w:pPr>
    </w:p>
    <w:p w:rsidR="00B722E5" w:rsidRDefault="00CE1383" w:rsidP="008E6397">
      <w:pPr>
        <w:autoSpaceDE w:val="0"/>
        <w:autoSpaceDN w:val="0"/>
        <w:adjustRightInd w:val="0"/>
        <w:spacing w:after="0"/>
      </w:pPr>
      <w:r>
        <w:t xml:space="preserve">9. </w:t>
      </w:r>
      <w:proofErr w:type="spellStart"/>
      <w:r>
        <w:t>Chenia</w:t>
      </w:r>
      <w:r w:rsidR="00B722E5">
        <w:t>k’s</w:t>
      </w:r>
      <w:proofErr w:type="spellEnd"/>
      <w:r w:rsidR="00B722E5">
        <w:t xml:space="preserve"> </w:t>
      </w:r>
      <w:r>
        <w:t xml:space="preserve">(2007) </w:t>
      </w:r>
      <w:r w:rsidR="00B722E5">
        <w:t xml:space="preserve">article suggests tai chi may be an appropriate intervention because it can address slow walking speed, weakness, and low physical activity. </w:t>
      </w:r>
      <w:r w:rsidR="00860191">
        <w:t xml:space="preserve"> This exercise improved strength and balance aiding in the prevention of falls. It is mostly beneficial because of its ability to enhance strength and balance.</w:t>
      </w: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r>
        <w:t>10. Some examples used in facilities/agencies are things such as handrails places in places where the older adult might struggle walking such as up and down stairs, an</w:t>
      </w:r>
      <w:r w:rsidR="00095B53">
        <w:t>d up and down ramps</w:t>
      </w:r>
      <w:r>
        <w:t xml:space="preserve">.  Also having hand rails in the bathrooms to assist them from getting onto and off the toilet. Maybe places also have no slip surfaces in dangerous areas. Using different colors for the floors and walls also make it easier for the elderly. Most places have many assistive devices in place for the elderly which help promote </w:t>
      </w:r>
      <w:proofErr w:type="gramStart"/>
      <w:r>
        <w:t>independence .</w:t>
      </w:r>
      <w:proofErr w:type="gramEnd"/>
      <w:r>
        <w:t xml:space="preserve"> </w:t>
      </w:r>
    </w:p>
    <w:p w:rsidR="006D12AD" w:rsidRPr="006D12AD" w:rsidRDefault="006D12AD" w:rsidP="006D12AD">
      <w:pPr>
        <w:autoSpaceDE w:val="0"/>
        <w:autoSpaceDN w:val="0"/>
        <w:adjustRightInd w:val="0"/>
        <w:spacing w:after="0"/>
        <w:rPr>
          <w:color w:val="FF0000"/>
        </w:rPr>
      </w:pPr>
      <w:r w:rsidRPr="006D12AD">
        <w:rPr>
          <w:rFonts w:ascii="ITCGaramondStd-Bk" w:hAnsi="ITCGaramondStd-Bk" w:cs="ITCGaramondStd-Bk"/>
          <w:color w:val="FF0000"/>
          <w:sz w:val="20"/>
          <w:szCs w:val="20"/>
        </w:rPr>
        <w:t>Installing standard electrical receptacles higher than usual above the floor, so they •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E6397">
      <w:pPr>
        <w:autoSpaceDE w:val="0"/>
        <w:autoSpaceDN w:val="0"/>
        <w:adjustRightInd w:val="0"/>
        <w:spacing w:after="0"/>
      </w:pPr>
    </w:p>
    <w:p w:rsidR="006D12AD" w:rsidRDefault="006D12AD" w:rsidP="008E6397">
      <w:pPr>
        <w:autoSpaceDE w:val="0"/>
        <w:autoSpaceDN w:val="0"/>
        <w:adjustRightInd w:val="0"/>
        <w:spacing w:after="0"/>
      </w:pPr>
    </w:p>
    <w:p w:rsidR="006D12AD" w:rsidRDefault="006D12AD" w:rsidP="008E6397">
      <w:pPr>
        <w:autoSpaceDE w:val="0"/>
        <w:autoSpaceDN w:val="0"/>
        <w:adjustRightInd w:val="0"/>
        <w:spacing w:after="0"/>
      </w:pPr>
    </w:p>
    <w:p w:rsidR="00860191" w:rsidRDefault="00860191" w:rsidP="008E6397">
      <w:pPr>
        <w:autoSpaceDE w:val="0"/>
        <w:autoSpaceDN w:val="0"/>
        <w:adjustRightInd w:val="0"/>
        <w:spacing w:after="0"/>
      </w:pPr>
    </w:p>
    <w:p w:rsidR="00860191" w:rsidRDefault="00860191" w:rsidP="00860191">
      <w:pPr>
        <w:autoSpaceDE w:val="0"/>
        <w:autoSpaceDN w:val="0"/>
        <w:adjustRightInd w:val="0"/>
        <w:spacing w:after="0"/>
        <w:jc w:val="center"/>
      </w:pPr>
      <w:r>
        <w:lastRenderedPageBreak/>
        <w:t>References</w:t>
      </w:r>
    </w:p>
    <w:p w:rsidR="00860191" w:rsidRPr="003D0994" w:rsidRDefault="003D0994" w:rsidP="00860191">
      <w:pPr>
        <w:autoSpaceDE w:val="0"/>
        <w:autoSpaceDN w:val="0"/>
        <w:adjustRightInd w:val="0"/>
        <w:spacing w:after="0"/>
        <w:jc w:val="center"/>
        <w:rPr>
          <w:color w:val="FF0000"/>
        </w:rPr>
      </w:pPr>
      <w:r w:rsidRPr="003D0994">
        <w:rPr>
          <w:color w:val="FF0000"/>
        </w:rPr>
        <w:t>Good ref page</w:t>
      </w:r>
    </w:p>
    <w:p w:rsidR="00860191" w:rsidRPr="00A32803" w:rsidRDefault="00860191" w:rsidP="00860191">
      <w:pPr>
        <w:autoSpaceDE w:val="0"/>
        <w:autoSpaceDN w:val="0"/>
        <w:adjustRightInd w:val="0"/>
        <w:spacing w:after="0"/>
      </w:pPr>
    </w:p>
    <w:p w:rsidR="00586AA1" w:rsidRDefault="00860191" w:rsidP="008E6397">
      <w:proofErr w:type="spellStart"/>
      <w:proofErr w:type="gramStart"/>
      <w:r>
        <w:t>Benefield</w:t>
      </w:r>
      <w:proofErr w:type="spellEnd"/>
      <w:r>
        <w:t xml:space="preserve">, L.E., &amp; </w:t>
      </w:r>
      <w:proofErr w:type="spellStart"/>
      <w:r>
        <w:t>Higbee</w:t>
      </w:r>
      <w:proofErr w:type="spellEnd"/>
      <w:r>
        <w:t>, R. L. (2007).</w:t>
      </w:r>
      <w:proofErr w:type="gramEnd"/>
      <w:r>
        <w:t xml:space="preserve"> </w:t>
      </w:r>
      <w:proofErr w:type="gramStart"/>
      <w:r>
        <w:rPr>
          <w:i/>
        </w:rPr>
        <w:t>Frailty and its implication for care.</w:t>
      </w:r>
      <w:proofErr w:type="gramEnd"/>
      <w:r>
        <w:rPr>
          <w:i/>
        </w:rPr>
        <w:t xml:space="preserve"> </w:t>
      </w:r>
      <w:r>
        <w:t xml:space="preserve">Hartford institute </w:t>
      </w:r>
    </w:p>
    <w:p w:rsidR="00CE1383" w:rsidRDefault="00860191" w:rsidP="008E6397">
      <w:r>
        <w:tab/>
      </w:r>
      <w:proofErr w:type="gramStart"/>
      <w:r w:rsidR="00CE1383">
        <w:t>f</w:t>
      </w:r>
      <w:r>
        <w:t>or</w:t>
      </w:r>
      <w:proofErr w:type="gramEnd"/>
      <w:r w:rsidR="00CE1383">
        <w:t xml:space="preserve"> G</w:t>
      </w:r>
      <w:r>
        <w:t>eriatric</w:t>
      </w:r>
      <w:r w:rsidR="00CE1383">
        <w:t xml:space="preserve"> Nursing. Retrieved from </w:t>
      </w:r>
      <w:r w:rsidR="00CE1383" w:rsidRPr="00CE1383">
        <w:t>http://consultgerirn.org/topics/frailty_and_its_</w:t>
      </w:r>
    </w:p>
    <w:p w:rsidR="00860191" w:rsidRDefault="00CE1383" w:rsidP="008E6397">
      <w:r>
        <w:tab/>
      </w:r>
      <w:proofErr w:type="spellStart"/>
      <w:proofErr w:type="gramStart"/>
      <w:r w:rsidRPr="00CE1383">
        <w:t>implications_for_care_new</w:t>
      </w:r>
      <w:proofErr w:type="spellEnd"/>
      <w:r w:rsidRPr="00CE1383">
        <w:t>/want_to_know_more#</w:t>
      </w:r>
      <w:proofErr w:type="gramEnd"/>
      <w:r w:rsidRPr="00CE1383">
        <w:t>item_4</w:t>
      </w:r>
    </w:p>
    <w:p w:rsidR="00CE1383" w:rsidRDefault="00CE1383" w:rsidP="008E6397">
      <w:proofErr w:type="spellStart"/>
      <w:proofErr w:type="gramStart"/>
      <w:r>
        <w:t>Cheniak</w:t>
      </w:r>
      <w:proofErr w:type="spellEnd"/>
      <w:r>
        <w:t xml:space="preserve">, E.P., </w:t>
      </w:r>
      <w:proofErr w:type="spellStart"/>
      <w:r>
        <w:t>Forez</w:t>
      </w:r>
      <w:proofErr w:type="spellEnd"/>
      <w:r>
        <w:t xml:space="preserve">, H.J., &amp; </w:t>
      </w:r>
      <w:proofErr w:type="spellStart"/>
      <w:r>
        <w:t>Troen</w:t>
      </w:r>
      <w:proofErr w:type="spellEnd"/>
      <w:r>
        <w:t>, B.R. (2007).</w:t>
      </w:r>
      <w:proofErr w:type="gramEnd"/>
      <w:r>
        <w:t xml:space="preserve"> Emerging therapies to treat frailty syndrome in</w:t>
      </w:r>
    </w:p>
    <w:p w:rsidR="00CE1383" w:rsidRPr="00CE1383" w:rsidRDefault="00CE1383" w:rsidP="008E6397">
      <w:r>
        <w:tab/>
      </w:r>
      <w:proofErr w:type="gramStart"/>
      <w:r>
        <w:t>the</w:t>
      </w:r>
      <w:proofErr w:type="gramEnd"/>
      <w:r>
        <w:t xml:space="preserve"> elderly. </w:t>
      </w:r>
      <w:proofErr w:type="gramStart"/>
      <w:r>
        <w:rPr>
          <w:i/>
        </w:rPr>
        <w:t>Alternative Medicine Review.</w:t>
      </w:r>
      <w:proofErr w:type="gramEnd"/>
      <w:r>
        <w:t xml:space="preserve"> Retrieved from: </w:t>
      </w:r>
      <w:r w:rsidRPr="00CE1383">
        <w:t>http://findarticles.com/p/</w:t>
      </w:r>
    </w:p>
    <w:p w:rsidR="001B4475" w:rsidRDefault="00CE1383" w:rsidP="00E44724">
      <w:r>
        <w:tab/>
      </w:r>
      <w:proofErr w:type="gramStart"/>
      <w:r>
        <w:t>articles/mi_m0FDN/is_3_12/ai_n27421818/pg_7</w:t>
      </w:r>
      <w:proofErr w:type="gramEnd"/>
      <w:r>
        <w:t>/?tag=content;col1</w:t>
      </w:r>
    </w:p>
    <w:p w:rsidR="00CE1383" w:rsidRDefault="00CE1383" w:rsidP="00E44724">
      <w:proofErr w:type="gramStart"/>
      <w:r>
        <w:t>Espinoza, S. E., &amp; Fried L. P. (2007).</w:t>
      </w:r>
      <w:proofErr w:type="gramEnd"/>
      <w:r>
        <w:t xml:space="preserve"> </w:t>
      </w:r>
      <w:proofErr w:type="gramStart"/>
      <w:r>
        <w:rPr>
          <w:i/>
        </w:rPr>
        <w:t>Risk factors for frailty in the older adult.</w:t>
      </w:r>
      <w:proofErr w:type="gramEnd"/>
      <w:r>
        <w:t xml:space="preserve"> Johns Hopkins </w:t>
      </w:r>
    </w:p>
    <w:p w:rsidR="00CE1383" w:rsidRDefault="00CE1383" w:rsidP="00E44724">
      <w:r>
        <w:tab/>
      </w:r>
      <w:proofErr w:type="gramStart"/>
      <w:r>
        <w:t>Medicine.</w:t>
      </w:r>
      <w:proofErr w:type="gramEnd"/>
      <w:r>
        <w:t xml:space="preserve"> Retrieved from </w:t>
      </w:r>
      <w:r w:rsidRPr="00CE1383">
        <w:t>http://www.imsersomayores.csic.es/documentos/boletin</w:t>
      </w:r>
    </w:p>
    <w:p w:rsidR="00CE1383" w:rsidRDefault="00CE1383" w:rsidP="00E44724">
      <w:r>
        <w:tab/>
        <w:t>/2007/numero-52/art-07-07-01.pdf</w:t>
      </w:r>
    </w:p>
    <w:p w:rsidR="00095B53" w:rsidRDefault="00095B53" w:rsidP="00E44724">
      <w:proofErr w:type="spellStart"/>
      <w:r>
        <w:t>Mauk</w:t>
      </w:r>
      <w:proofErr w:type="spellEnd"/>
      <w:r>
        <w:t xml:space="preserve">, K.L. (2010). </w:t>
      </w:r>
      <w:proofErr w:type="gramStart"/>
      <w:r>
        <w:t>Promoting independence in later life.</w:t>
      </w:r>
      <w:proofErr w:type="gramEnd"/>
      <w:r>
        <w:t xml:space="preserve"> </w:t>
      </w:r>
      <w:proofErr w:type="spellStart"/>
      <w:r>
        <w:t>Gerontological</w:t>
      </w:r>
      <w:proofErr w:type="spellEnd"/>
      <w:r>
        <w:t xml:space="preserve"> nursing: Competencies for care. </w:t>
      </w:r>
    </w:p>
    <w:p w:rsidR="00095B53" w:rsidRDefault="00095B53" w:rsidP="00E44724">
      <w:r>
        <w:tab/>
        <w:t>(2nd ed., pp. 300-303). Sudbury, MA: Jones and Bartlett.</w:t>
      </w:r>
    </w:p>
    <w:p w:rsidR="00CE1383" w:rsidRPr="00CE1383" w:rsidRDefault="00CE1383" w:rsidP="00E44724"/>
    <w:sectPr w:rsidR="00CE1383" w:rsidRPr="00CE1383" w:rsidSect="00E44724">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7T17:25:00Z" w:initials="M">
    <w:p w:rsidR="006D12AD" w:rsidRDefault="006D12AD">
      <w:pPr>
        <w:pStyle w:val="CommentText"/>
      </w:pPr>
      <w:r>
        <w:rPr>
          <w:rStyle w:val="CommentReference"/>
        </w:rPr>
        <w:annotationRef/>
      </w:r>
      <w:r>
        <w:t>Running head with small h</w:t>
      </w:r>
    </w:p>
  </w:comment>
  <w:comment w:id="1" w:author="Mary" w:date="2012-02-27T17:26:00Z" w:initials="M">
    <w:p w:rsidR="006D12AD" w:rsidRDefault="006D12AD">
      <w:pPr>
        <w:pStyle w:val="CommentText"/>
      </w:pPr>
      <w:r>
        <w:rPr>
          <w:rStyle w:val="CommentReference"/>
        </w:rPr>
        <w:annotationRef/>
      </w:r>
      <w:r>
        <w:t>Double space paper</w:t>
      </w:r>
    </w:p>
  </w:comment>
  <w:comment w:id="2" w:author="Mary" w:date="2012-02-27T17:28:00Z" w:initials="M">
    <w:p w:rsidR="006D12AD" w:rsidRDefault="006D12AD">
      <w:pPr>
        <w:pStyle w:val="CommentText"/>
      </w:pPr>
      <w:r>
        <w:rPr>
          <w:rStyle w:val="CommentReference"/>
        </w:rPr>
        <w:annotationRef/>
      </w:r>
      <w:r>
        <w:t>Site source</w:t>
      </w:r>
    </w:p>
  </w:comment>
  <w:comment w:id="3" w:author="Mary" w:date="2012-02-27T17:29:00Z" w:initials="M">
    <w:p w:rsidR="006D12AD" w:rsidRDefault="006D12AD">
      <w:pPr>
        <w:pStyle w:val="CommentText"/>
      </w:pPr>
      <w:r>
        <w:rPr>
          <w:rStyle w:val="CommentReference"/>
        </w:rPr>
        <w:annotationRef/>
      </w:r>
      <w:r>
        <w:t>Use page numbers with direct quotes</w:t>
      </w:r>
    </w:p>
  </w:comment>
  <w:comment w:id="4" w:author="Mary" w:date="2012-02-27T17:31:00Z" w:initials="M">
    <w:p w:rsidR="006D12AD" w:rsidRDefault="006D12AD">
      <w:pPr>
        <w:pStyle w:val="CommentText"/>
      </w:pPr>
      <w:r>
        <w:rPr>
          <w:rStyle w:val="CommentReference"/>
        </w:rPr>
        <w:annotationRef/>
      </w:r>
      <w:r>
        <w:t>When site author, year     see the comma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37E" w:rsidRDefault="0076237E" w:rsidP="00E44724">
      <w:pPr>
        <w:spacing w:after="0"/>
      </w:pPr>
      <w:r>
        <w:separator/>
      </w:r>
    </w:p>
  </w:endnote>
  <w:endnote w:type="continuationSeparator" w:id="0">
    <w:p w:rsidR="0076237E" w:rsidRDefault="0076237E" w:rsidP="00E447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37E" w:rsidRDefault="0076237E" w:rsidP="00E44724">
      <w:pPr>
        <w:spacing w:after="0"/>
      </w:pPr>
      <w:r>
        <w:separator/>
      </w:r>
    </w:p>
  </w:footnote>
  <w:footnote w:type="continuationSeparator" w:id="0">
    <w:p w:rsidR="0076237E" w:rsidRDefault="0076237E" w:rsidP="00E4472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7629"/>
      <w:docPartObj>
        <w:docPartGallery w:val="Page Numbers (Top of Page)"/>
        <w:docPartUnique/>
      </w:docPartObj>
    </w:sdtPr>
    <w:sdtContent>
      <w:p w:rsidR="00860191" w:rsidRDefault="00860191">
        <w:pPr>
          <w:pStyle w:val="Header"/>
          <w:jc w:val="right"/>
        </w:pPr>
        <w:r>
          <w:t xml:space="preserve"> FRAILTY                                                                                                                                                                          </w:t>
        </w:r>
        <w:fldSimple w:instr=" PAGE   \* MERGEFORMAT ">
          <w:r w:rsidR="003D0994">
            <w:rPr>
              <w:noProof/>
            </w:rPr>
            <w:t>2</w:t>
          </w:r>
        </w:fldSimple>
      </w:p>
    </w:sdtContent>
  </w:sdt>
  <w:p w:rsidR="00860191" w:rsidRDefault="008601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191" w:rsidRDefault="00860191">
    <w:pPr>
      <w:pStyle w:val="Header"/>
      <w:jc w:val="right"/>
    </w:pPr>
    <w:r>
      <w:t xml:space="preserve">Running Header: FRAILTY                                                                                                                                            </w:t>
    </w:r>
    <w:sdt>
      <w:sdtPr>
        <w:id w:val="5217439"/>
        <w:docPartObj>
          <w:docPartGallery w:val="Page Numbers (Top of Page)"/>
          <w:docPartUnique/>
        </w:docPartObj>
      </w:sdtPr>
      <w:sdtContent>
        <w:fldSimple w:instr=" PAGE   \* MERGEFORMAT ">
          <w:r w:rsidR="003D0994">
            <w:rPr>
              <w:noProof/>
            </w:rPr>
            <w:t>1</w:t>
          </w:r>
        </w:fldSimple>
      </w:sdtContent>
    </w:sdt>
  </w:p>
  <w:p w:rsidR="00860191" w:rsidRDefault="008601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44724"/>
    <w:rsid w:val="00095B53"/>
    <w:rsid w:val="00174CF1"/>
    <w:rsid w:val="001B4475"/>
    <w:rsid w:val="003D0994"/>
    <w:rsid w:val="004963E3"/>
    <w:rsid w:val="00586AA1"/>
    <w:rsid w:val="005A282D"/>
    <w:rsid w:val="006716F4"/>
    <w:rsid w:val="006D12AD"/>
    <w:rsid w:val="0076237E"/>
    <w:rsid w:val="00860191"/>
    <w:rsid w:val="008E6397"/>
    <w:rsid w:val="00921820"/>
    <w:rsid w:val="0095383B"/>
    <w:rsid w:val="00A32803"/>
    <w:rsid w:val="00B722E5"/>
    <w:rsid w:val="00CE1383"/>
    <w:rsid w:val="00E26F3F"/>
    <w:rsid w:val="00E447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724"/>
    <w:pPr>
      <w:tabs>
        <w:tab w:val="center" w:pos="4680"/>
        <w:tab w:val="right" w:pos="9360"/>
      </w:tabs>
      <w:spacing w:after="0"/>
    </w:pPr>
  </w:style>
  <w:style w:type="character" w:customStyle="1" w:styleId="HeaderChar">
    <w:name w:val="Header Char"/>
    <w:basedOn w:val="DefaultParagraphFont"/>
    <w:link w:val="Header"/>
    <w:uiPriority w:val="99"/>
    <w:rsid w:val="00E44724"/>
  </w:style>
  <w:style w:type="paragraph" w:styleId="Footer">
    <w:name w:val="footer"/>
    <w:basedOn w:val="Normal"/>
    <w:link w:val="FooterChar"/>
    <w:uiPriority w:val="99"/>
    <w:semiHidden/>
    <w:unhideWhenUsed/>
    <w:rsid w:val="00E44724"/>
    <w:pPr>
      <w:tabs>
        <w:tab w:val="center" w:pos="4680"/>
        <w:tab w:val="right" w:pos="9360"/>
      </w:tabs>
      <w:spacing w:after="0"/>
    </w:pPr>
  </w:style>
  <w:style w:type="character" w:customStyle="1" w:styleId="FooterChar">
    <w:name w:val="Footer Char"/>
    <w:basedOn w:val="DefaultParagraphFont"/>
    <w:link w:val="Footer"/>
    <w:uiPriority w:val="99"/>
    <w:semiHidden/>
    <w:rsid w:val="00E44724"/>
  </w:style>
  <w:style w:type="character" w:styleId="Hyperlink">
    <w:name w:val="Hyperlink"/>
    <w:basedOn w:val="DefaultParagraphFont"/>
    <w:uiPriority w:val="99"/>
    <w:unhideWhenUsed/>
    <w:rsid w:val="00CE1383"/>
    <w:rPr>
      <w:color w:val="0000FF" w:themeColor="hyperlink"/>
      <w:u w:val="single"/>
    </w:rPr>
  </w:style>
  <w:style w:type="character" w:styleId="CommentReference">
    <w:name w:val="annotation reference"/>
    <w:basedOn w:val="DefaultParagraphFont"/>
    <w:uiPriority w:val="99"/>
    <w:semiHidden/>
    <w:unhideWhenUsed/>
    <w:rsid w:val="006D12AD"/>
    <w:rPr>
      <w:sz w:val="16"/>
      <w:szCs w:val="16"/>
    </w:rPr>
  </w:style>
  <w:style w:type="paragraph" w:styleId="CommentText">
    <w:name w:val="annotation text"/>
    <w:basedOn w:val="Normal"/>
    <w:link w:val="CommentTextChar"/>
    <w:uiPriority w:val="99"/>
    <w:semiHidden/>
    <w:unhideWhenUsed/>
    <w:rsid w:val="006D12AD"/>
    <w:rPr>
      <w:sz w:val="20"/>
      <w:szCs w:val="20"/>
    </w:rPr>
  </w:style>
  <w:style w:type="character" w:customStyle="1" w:styleId="CommentTextChar">
    <w:name w:val="Comment Text Char"/>
    <w:basedOn w:val="DefaultParagraphFont"/>
    <w:link w:val="CommentText"/>
    <w:uiPriority w:val="99"/>
    <w:semiHidden/>
    <w:rsid w:val="006D12AD"/>
    <w:rPr>
      <w:sz w:val="20"/>
      <w:szCs w:val="20"/>
    </w:rPr>
  </w:style>
  <w:style w:type="paragraph" w:styleId="CommentSubject">
    <w:name w:val="annotation subject"/>
    <w:basedOn w:val="CommentText"/>
    <w:next w:val="CommentText"/>
    <w:link w:val="CommentSubjectChar"/>
    <w:uiPriority w:val="99"/>
    <w:semiHidden/>
    <w:unhideWhenUsed/>
    <w:rsid w:val="006D12AD"/>
    <w:rPr>
      <w:b/>
      <w:bCs/>
    </w:rPr>
  </w:style>
  <w:style w:type="character" w:customStyle="1" w:styleId="CommentSubjectChar">
    <w:name w:val="Comment Subject Char"/>
    <w:basedOn w:val="CommentTextChar"/>
    <w:link w:val="CommentSubject"/>
    <w:uiPriority w:val="99"/>
    <w:semiHidden/>
    <w:rsid w:val="006D12AD"/>
    <w:rPr>
      <w:b/>
      <w:bCs/>
    </w:rPr>
  </w:style>
  <w:style w:type="paragraph" w:styleId="BalloonText">
    <w:name w:val="Balloon Text"/>
    <w:basedOn w:val="Normal"/>
    <w:link w:val="BalloonTextChar"/>
    <w:uiPriority w:val="99"/>
    <w:semiHidden/>
    <w:unhideWhenUsed/>
    <w:rsid w:val="006D12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Mary</cp:lastModifiedBy>
  <cp:revision>2</cp:revision>
  <dcterms:created xsi:type="dcterms:W3CDTF">2012-02-27T23:37:00Z</dcterms:created>
  <dcterms:modified xsi:type="dcterms:W3CDTF">2012-02-27T23:37:00Z</dcterms:modified>
</cp:coreProperties>
</file>