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885F0" w14:textId="77777777" w:rsidR="007439C3" w:rsidRPr="00833AC5" w:rsidRDefault="007439C3" w:rsidP="005B1930">
      <w:pPr>
        <w:pStyle w:val="APA"/>
        <w:rPr>
          <w:b/>
        </w:rPr>
      </w:pPr>
    </w:p>
    <w:p w14:paraId="60B70255" w14:textId="77777777" w:rsidR="005B1930" w:rsidRPr="00833AC5" w:rsidRDefault="005B1930" w:rsidP="005B1930">
      <w:pPr>
        <w:pStyle w:val="APA"/>
        <w:rPr>
          <w:b/>
        </w:rPr>
      </w:pPr>
    </w:p>
    <w:p w14:paraId="67E14EEB" w14:textId="233242A8" w:rsidR="005B1930" w:rsidRPr="00DC6E8B" w:rsidRDefault="00DC6E8B" w:rsidP="005B1930">
      <w:pPr>
        <w:pStyle w:val="APA"/>
        <w:rPr>
          <w:b/>
          <w:color w:val="FF0000"/>
        </w:rPr>
      </w:pPr>
      <w:proofErr w:type="gramStart"/>
      <w:r w:rsidRPr="00DC6E8B">
        <w:rPr>
          <w:b/>
          <w:color w:val="FF0000"/>
        </w:rPr>
        <w:t>14.75  titles</w:t>
      </w:r>
      <w:proofErr w:type="gramEnd"/>
      <w:r w:rsidRPr="00DC6E8B">
        <w:rPr>
          <w:b/>
          <w:color w:val="FF0000"/>
        </w:rPr>
        <w:t xml:space="preserve"> need to be in italics</w:t>
      </w:r>
    </w:p>
    <w:p w14:paraId="499D779F" w14:textId="77777777" w:rsidR="005B1930" w:rsidRPr="00833AC5" w:rsidRDefault="005B1930" w:rsidP="005B1930">
      <w:pPr>
        <w:pStyle w:val="APA"/>
        <w:rPr>
          <w:b/>
        </w:rPr>
      </w:pPr>
      <w:bookmarkStart w:id="0" w:name="_GoBack"/>
      <w:bookmarkEnd w:id="0"/>
    </w:p>
    <w:p w14:paraId="3902D7F8" w14:textId="77777777" w:rsidR="005B1930" w:rsidRPr="00833AC5" w:rsidRDefault="005B1930" w:rsidP="005B1930">
      <w:pPr>
        <w:pStyle w:val="APA"/>
        <w:rPr>
          <w:b/>
        </w:rPr>
      </w:pPr>
    </w:p>
    <w:p w14:paraId="3D240A54" w14:textId="77777777" w:rsidR="005B1930" w:rsidRPr="00833AC5" w:rsidRDefault="005B1930" w:rsidP="005B1930">
      <w:pPr>
        <w:pStyle w:val="APA"/>
        <w:rPr>
          <w:b/>
        </w:rPr>
      </w:pPr>
    </w:p>
    <w:p w14:paraId="2AAD0C10" w14:textId="77777777" w:rsidR="005B1930" w:rsidRPr="00833AC5" w:rsidRDefault="005B1930" w:rsidP="005B1930">
      <w:pPr>
        <w:pStyle w:val="APA"/>
        <w:rPr>
          <w:b/>
        </w:rPr>
      </w:pPr>
    </w:p>
    <w:p w14:paraId="4BB48998" w14:textId="77777777" w:rsidR="005B1930" w:rsidRPr="00466A26" w:rsidRDefault="005B1930" w:rsidP="005B1930">
      <w:pPr>
        <w:pStyle w:val="APAHeadingCenter"/>
      </w:pPr>
      <w:bookmarkStart w:id="1" w:name="bmTitlePageTitle"/>
      <w:r w:rsidRPr="00466A26">
        <w:t>Culturally Specific Care</w:t>
      </w:r>
      <w:bookmarkEnd w:id="1"/>
    </w:p>
    <w:p w14:paraId="680F6681" w14:textId="77777777" w:rsidR="005B1930" w:rsidRPr="00466A26" w:rsidRDefault="005B1930" w:rsidP="005B1930">
      <w:pPr>
        <w:pStyle w:val="APAHeadingCenter"/>
      </w:pPr>
      <w:bookmarkStart w:id="2" w:name="bmTitlePageName"/>
      <w:r w:rsidRPr="00466A26">
        <w:t>Sydney Bailey</w:t>
      </w:r>
      <w:bookmarkEnd w:id="2"/>
    </w:p>
    <w:p w14:paraId="6E1C3CFE" w14:textId="4775D2F4" w:rsidR="005B1930" w:rsidRPr="00466A26" w:rsidRDefault="005B1930" w:rsidP="00EF7BDF">
      <w:pPr>
        <w:pStyle w:val="APAHeadingCenter"/>
      </w:pPr>
      <w:bookmarkStart w:id="3" w:name="bmTitlePageInst"/>
      <w:r w:rsidRPr="00466A26">
        <w:t>Lakeview College of Nursing</w:t>
      </w:r>
      <w:bookmarkStart w:id="4" w:name="bmTitleAdd1"/>
      <w:bookmarkEnd w:id="3"/>
      <w:bookmarkEnd w:id="4"/>
    </w:p>
    <w:p w14:paraId="201BB64F" w14:textId="38FA07E3" w:rsidR="005B1930" w:rsidRPr="00466A26" w:rsidRDefault="005B1930" w:rsidP="00EF7BDF">
      <w:pPr>
        <w:pStyle w:val="APAHeadingCenter"/>
      </w:pPr>
      <w:bookmarkStart w:id="5" w:name="bmTitleAdd2"/>
      <w:r w:rsidRPr="00466A26">
        <w:t>Nursing of the Gerontological Client</w:t>
      </w:r>
      <w:bookmarkStart w:id="6" w:name="bmTitleAdd3"/>
      <w:bookmarkEnd w:id="5"/>
      <w:bookmarkEnd w:id="6"/>
    </w:p>
    <w:p w14:paraId="622DC612" w14:textId="77777777" w:rsidR="005B1930" w:rsidRPr="00466A26" w:rsidRDefault="005B1930" w:rsidP="005B1930">
      <w:pPr>
        <w:pStyle w:val="APAHeadingCenter"/>
      </w:pPr>
      <w:bookmarkStart w:id="7" w:name="bmTitleAdd4"/>
      <w:r w:rsidRPr="00466A26">
        <w:t>April 13, 2012</w:t>
      </w:r>
      <w:bookmarkEnd w:id="7"/>
    </w:p>
    <w:p w14:paraId="1114846C" w14:textId="77777777" w:rsidR="005B1930" w:rsidRPr="00466A26" w:rsidRDefault="005B1930" w:rsidP="005B1930">
      <w:pPr>
        <w:pStyle w:val="APA"/>
        <w:sectPr w:rsidR="005B1930" w:rsidRPr="00466A26" w:rsidSect="005B1930">
          <w:headerReference w:type="default" r:id="rId8"/>
          <w:headerReference w:type="first" r:id="rId9"/>
          <w:pgSz w:w="12240" w:h="15840" w:code="1"/>
          <w:pgMar w:top="1440" w:right="1440" w:bottom="1440" w:left="1440" w:header="720" w:footer="720" w:gutter="0"/>
          <w:cols w:space="720"/>
          <w:titlePg/>
          <w:docGrid w:linePitch="360"/>
        </w:sectPr>
      </w:pPr>
    </w:p>
    <w:p w14:paraId="5B28DB94" w14:textId="77777777" w:rsidR="005B1930" w:rsidRPr="00466A26" w:rsidRDefault="005B1930" w:rsidP="005B1930">
      <w:pPr>
        <w:pStyle w:val="APA"/>
        <w:sectPr w:rsidR="005B1930" w:rsidRPr="00466A26" w:rsidSect="005B1930">
          <w:headerReference w:type="first" r:id="rId10"/>
          <w:type w:val="continuous"/>
          <w:pgSz w:w="12240" w:h="15840" w:code="1"/>
          <w:pgMar w:top="1440" w:right="1440" w:bottom="1440" w:left="1440" w:header="720" w:footer="720" w:gutter="0"/>
          <w:cols w:space="720"/>
          <w:titlePg/>
          <w:docGrid w:linePitch="360"/>
        </w:sectPr>
      </w:pPr>
    </w:p>
    <w:p w14:paraId="497CAD62" w14:textId="77777777" w:rsidR="005B1930" w:rsidRPr="00466A26" w:rsidRDefault="005B1930" w:rsidP="005B1930">
      <w:pPr>
        <w:pStyle w:val="APAHeadingCenter"/>
      </w:pPr>
      <w:bookmarkStart w:id="8" w:name="bmFirstPageTitle"/>
      <w:r w:rsidRPr="00466A26">
        <w:lastRenderedPageBreak/>
        <w:t>Culturally Specific Care</w:t>
      </w:r>
      <w:bookmarkEnd w:id="8"/>
    </w:p>
    <w:p w14:paraId="1416D580" w14:textId="78E6CC55" w:rsidR="00B262F5" w:rsidRPr="00833AC5" w:rsidRDefault="00BA154C" w:rsidP="00B262F5">
      <w:pPr>
        <w:pStyle w:val="APA"/>
        <w:ind w:firstLine="0"/>
        <w:rPr>
          <w:b/>
        </w:rPr>
      </w:pPr>
      <w:r w:rsidRPr="00833AC5">
        <w:rPr>
          <w:b/>
        </w:rPr>
        <w:t>18.1</w:t>
      </w:r>
      <w:r w:rsidR="00764406">
        <w:rPr>
          <w:b/>
        </w:rPr>
        <w:t xml:space="preserve"> Part I</w:t>
      </w:r>
    </w:p>
    <w:p w14:paraId="4F1462AA" w14:textId="6622E856" w:rsidR="005B1930" w:rsidRDefault="00EE2F23" w:rsidP="00B262F5">
      <w:pPr>
        <w:pStyle w:val="APA"/>
        <w:ind w:firstLine="90"/>
        <w:rPr>
          <w:b/>
        </w:rPr>
      </w:pPr>
      <w:r w:rsidRPr="00833AC5">
        <w:rPr>
          <w:b/>
        </w:rPr>
        <w:t xml:space="preserve">1. Identify a minimum of five components which are generally included in the definition of culture. </w:t>
      </w:r>
    </w:p>
    <w:p w14:paraId="73122D66" w14:textId="42DC3DEA" w:rsidR="00995062" w:rsidRPr="00995062" w:rsidRDefault="00995062" w:rsidP="00B262F5">
      <w:pPr>
        <w:pStyle w:val="APA"/>
        <w:ind w:firstLine="90"/>
      </w:pPr>
      <w:r>
        <w:tab/>
        <w:t xml:space="preserve">Components shared by individuals within a particular culture include the following:  attitudes, rules of behavior, skills, values, language, beliefs, and knowledge </w:t>
      </w:r>
      <w:bookmarkStart w:id="9" w:name="C410145645486111I0T410145670717593"/>
      <w:r w:rsidR="00817330">
        <w:t xml:space="preserve">(McBride, </w:t>
      </w:r>
      <w:proofErr w:type="spellStart"/>
      <w:r w:rsidR="00817330">
        <w:t>n.d.</w:t>
      </w:r>
      <w:proofErr w:type="spellEnd"/>
      <w:r w:rsidR="00817330">
        <w:t>)</w:t>
      </w:r>
      <w:bookmarkEnd w:id="9"/>
      <w:r>
        <w:t xml:space="preserve">.   </w:t>
      </w:r>
    </w:p>
    <w:p w14:paraId="7F407058" w14:textId="39F8B80F" w:rsidR="00EE2F23" w:rsidRDefault="00EE2F23" w:rsidP="00B262F5">
      <w:pPr>
        <w:pStyle w:val="APA"/>
        <w:ind w:firstLine="0"/>
        <w:rPr>
          <w:b/>
        </w:rPr>
      </w:pPr>
      <w:r w:rsidRPr="00833AC5">
        <w:rPr>
          <w:b/>
        </w:rPr>
        <w:t xml:space="preserve">2. After reviewing the definition, share an ethnocentric remark you have heard recently, or develop one as an example. </w:t>
      </w:r>
    </w:p>
    <w:p w14:paraId="76A377F3" w14:textId="36FA07BB" w:rsidR="00B5715E" w:rsidRPr="00B5715E" w:rsidRDefault="00B5715E" w:rsidP="00B262F5">
      <w:pPr>
        <w:pStyle w:val="APA"/>
        <w:ind w:firstLine="0"/>
      </w:pPr>
      <w:r>
        <w:rPr>
          <w:b/>
        </w:rPr>
        <w:tab/>
        <w:t>“</w:t>
      </w:r>
      <w:r>
        <w:t xml:space="preserve">All citizens of the United States should be forced to speak English.”  </w:t>
      </w:r>
    </w:p>
    <w:p w14:paraId="15A6C5A3" w14:textId="77E0CA89" w:rsidR="00EE2F23" w:rsidRPr="00833AC5" w:rsidRDefault="00EE2F23" w:rsidP="00B262F5">
      <w:pPr>
        <w:pStyle w:val="APA"/>
        <w:ind w:firstLine="0"/>
        <w:rPr>
          <w:b/>
        </w:rPr>
      </w:pPr>
      <w:r w:rsidRPr="00833AC5">
        <w:rPr>
          <w:b/>
        </w:rPr>
        <w:t>3. Using the Web site http://facts.kff.org/chart.aspx?ch=364, transfer the statistics to the following table.</w:t>
      </w:r>
    </w:p>
    <w:p w14:paraId="7E096819" w14:textId="29A7AD14" w:rsidR="00FB74D1" w:rsidRPr="00833AC5" w:rsidRDefault="00FB74D1" w:rsidP="00FB74D1">
      <w:pPr>
        <w:pStyle w:val="APA"/>
        <w:ind w:firstLine="0"/>
        <w:jc w:val="center"/>
        <w:rPr>
          <w:b/>
        </w:rPr>
      </w:pPr>
      <w:r w:rsidRPr="00833AC5">
        <w:rPr>
          <w:b/>
        </w:rPr>
        <w:t>Table 18.1 Distribution of U.S. Population by Race/Ethnicity, 2010 and 2050</w:t>
      </w:r>
    </w:p>
    <w:tbl>
      <w:tblPr>
        <w:tblStyle w:val="TableGrid"/>
        <w:tblW w:w="0" w:type="auto"/>
        <w:tblLook w:val="04A0" w:firstRow="1" w:lastRow="0" w:firstColumn="1" w:lastColumn="0" w:noHBand="0" w:noVBand="1"/>
      </w:tblPr>
      <w:tblGrid>
        <w:gridCol w:w="3192"/>
        <w:gridCol w:w="3192"/>
        <w:gridCol w:w="3192"/>
      </w:tblGrid>
      <w:tr w:rsidR="00FB74D1" w:rsidRPr="00833AC5" w14:paraId="1D0B83C1" w14:textId="77777777" w:rsidTr="00FB74D1">
        <w:tc>
          <w:tcPr>
            <w:tcW w:w="3192" w:type="dxa"/>
          </w:tcPr>
          <w:p w14:paraId="0438E435" w14:textId="77777777" w:rsidR="00FB74D1" w:rsidRPr="00833AC5" w:rsidRDefault="00FB74D1" w:rsidP="00B262F5">
            <w:pPr>
              <w:pStyle w:val="APA"/>
              <w:ind w:firstLine="0"/>
              <w:rPr>
                <w:b/>
              </w:rPr>
            </w:pPr>
          </w:p>
        </w:tc>
        <w:tc>
          <w:tcPr>
            <w:tcW w:w="3192" w:type="dxa"/>
          </w:tcPr>
          <w:p w14:paraId="15978459" w14:textId="0B7573DE" w:rsidR="00FB74D1" w:rsidRPr="00833AC5" w:rsidRDefault="00FB74D1" w:rsidP="00FB74D1">
            <w:pPr>
              <w:pStyle w:val="APA"/>
              <w:ind w:firstLine="0"/>
              <w:jc w:val="center"/>
              <w:rPr>
                <w:b/>
              </w:rPr>
            </w:pPr>
            <w:r w:rsidRPr="00833AC5">
              <w:rPr>
                <w:b/>
              </w:rPr>
              <w:t>2010</w:t>
            </w:r>
          </w:p>
        </w:tc>
        <w:tc>
          <w:tcPr>
            <w:tcW w:w="3192" w:type="dxa"/>
          </w:tcPr>
          <w:p w14:paraId="70BCFB8F" w14:textId="33EAB0AA" w:rsidR="00FB74D1" w:rsidRPr="00833AC5" w:rsidRDefault="00FB74D1" w:rsidP="00FB74D1">
            <w:pPr>
              <w:pStyle w:val="APA"/>
              <w:ind w:firstLine="0"/>
              <w:jc w:val="center"/>
              <w:rPr>
                <w:b/>
              </w:rPr>
            </w:pPr>
            <w:r w:rsidRPr="00833AC5">
              <w:rPr>
                <w:b/>
              </w:rPr>
              <w:t>2050</w:t>
            </w:r>
          </w:p>
        </w:tc>
      </w:tr>
      <w:tr w:rsidR="00FB74D1" w:rsidRPr="00833AC5" w14:paraId="1C6D1A73" w14:textId="77777777" w:rsidTr="00FB74D1">
        <w:tc>
          <w:tcPr>
            <w:tcW w:w="3192" w:type="dxa"/>
          </w:tcPr>
          <w:p w14:paraId="5DCA3EAE" w14:textId="339459C5" w:rsidR="00FB74D1" w:rsidRPr="00833AC5" w:rsidRDefault="00FB74D1" w:rsidP="00B262F5">
            <w:pPr>
              <w:pStyle w:val="APA"/>
              <w:ind w:firstLine="0"/>
              <w:rPr>
                <w:b/>
              </w:rPr>
            </w:pPr>
            <w:r w:rsidRPr="00833AC5">
              <w:rPr>
                <w:b/>
              </w:rPr>
              <w:t>% White, non-Hispanic</w:t>
            </w:r>
          </w:p>
        </w:tc>
        <w:tc>
          <w:tcPr>
            <w:tcW w:w="3192" w:type="dxa"/>
          </w:tcPr>
          <w:p w14:paraId="32D38290" w14:textId="371FCE9A" w:rsidR="00FB74D1" w:rsidRPr="005305A2" w:rsidRDefault="005305A2" w:rsidP="005305A2">
            <w:pPr>
              <w:pStyle w:val="APA"/>
              <w:ind w:firstLine="0"/>
              <w:jc w:val="center"/>
            </w:pPr>
            <w:r w:rsidRPr="005305A2">
              <w:t>64.7%</w:t>
            </w:r>
          </w:p>
        </w:tc>
        <w:tc>
          <w:tcPr>
            <w:tcW w:w="3192" w:type="dxa"/>
          </w:tcPr>
          <w:p w14:paraId="7744909F" w14:textId="5A45C522" w:rsidR="00FB74D1" w:rsidRPr="005305A2" w:rsidRDefault="005305A2" w:rsidP="005305A2">
            <w:pPr>
              <w:pStyle w:val="APA"/>
              <w:ind w:firstLine="0"/>
              <w:jc w:val="center"/>
            </w:pPr>
            <w:r w:rsidRPr="005305A2">
              <w:t>46.3%</w:t>
            </w:r>
          </w:p>
        </w:tc>
      </w:tr>
      <w:tr w:rsidR="00FB74D1" w:rsidRPr="00833AC5" w14:paraId="177C347E" w14:textId="77777777" w:rsidTr="00FB74D1">
        <w:tc>
          <w:tcPr>
            <w:tcW w:w="3192" w:type="dxa"/>
          </w:tcPr>
          <w:p w14:paraId="209C7CD4" w14:textId="5D44B53A" w:rsidR="00FB74D1" w:rsidRPr="00833AC5" w:rsidRDefault="00FB74D1" w:rsidP="00B262F5">
            <w:pPr>
              <w:pStyle w:val="APA"/>
              <w:ind w:firstLine="0"/>
              <w:rPr>
                <w:b/>
              </w:rPr>
            </w:pPr>
            <w:r w:rsidRPr="00833AC5">
              <w:rPr>
                <w:b/>
              </w:rPr>
              <w:t>% Hispanic</w:t>
            </w:r>
          </w:p>
        </w:tc>
        <w:tc>
          <w:tcPr>
            <w:tcW w:w="3192" w:type="dxa"/>
          </w:tcPr>
          <w:p w14:paraId="2E6D9CB2" w14:textId="41A8855D" w:rsidR="00FB74D1" w:rsidRPr="005305A2" w:rsidRDefault="005305A2" w:rsidP="005305A2">
            <w:pPr>
              <w:pStyle w:val="APA"/>
              <w:ind w:firstLine="0"/>
              <w:jc w:val="center"/>
            </w:pPr>
            <w:r w:rsidRPr="005305A2">
              <w:t>16.0%</w:t>
            </w:r>
          </w:p>
        </w:tc>
        <w:tc>
          <w:tcPr>
            <w:tcW w:w="3192" w:type="dxa"/>
          </w:tcPr>
          <w:p w14:paraId="3E211DAC" w14:textId="79111CB8" w:rsidR="00FB74D1" w:rsidRPr="005305A2" w:rsidRDefault="005305A2" w:rsidP="005305A2">
            <w:pPr>
              <w:pStyle w:val="APA"/>
              <w:ind w:firstLine="0"/>
              <w:jc w:val="center"/>
            </w:pPr>
            <w:r w:rsidRPr="005305A2">
              <w:t>30.2%</w:t>
            </w:r>
          </w:p>
        </w:tc>
      </w:tr>
      <w:tr w:rsidR="00FB74D1" w:rsidRPr="00833AC5" w14:paraId="38CFCA71" w14:textId="77777777" w:rsidTr="00FB74D1">
        <w:tc>
          <w:tcPr>
            <w:tcW w:w="3192" w:type="dxa"/>
          </w:tcPr>
          <w:p w14:paraId="12F6738F" w14:textId="2FE96A08" w:rsidR="00FB74D1" w:rsidRPr="00833AC5" w:rsidRDefault="00FB74D1" w:rsidP="00B262F5">
            <w:pPr>
              <w:pStyle w:val="APA"/>
              <w:ind w:firstLine="0"/>
              <w:rPr>
                <w:b/>
              </w:rPr>
            </w:pPr>
            <w:r w:rsidRPr="00833AC5">
              <w:rPr>
                <w:b/>
              </w:rPr>
              <w:t>% African American, non-Hispanic</w:t>
            </w:r>
          </w:p>
        </w:tc>
        <w:tc>
          <w:tcPr>
            <w:tcW w:w="3192" w:type="dxa"/>
          </w:tcPr>
          <w:p w14:paraId="13BBE7C1" w14:textId="2087BA2E" w:rsidR="00FB74D1" w:rsidRPr="00506A43" w:rsidRDefault="005305A2" w:rsidP="00506A43">
            <w:pPr>
              <w:pStyle w:val="APA"/>
              <w:ind w:firstLine="0"/>
              <w:jc w:val="center"/>
            </w:pPr>
            <w:r w:rsidRPr="00506A43">
              <w:t>12.2%</w:t>
            </w:r>
          </w:p>
        </w:tc>
        <w:tc>
          <w:tcPr>
            <w:tcW w:w="3192" w:type="dxa"/>
          </w:tcPr>
          <w:p w14:paraId="2AB6906F" w14:textId="11FE2997" w:rsidR="00FB74D1" w:rsidRPr="00506A43" w:rsidRDefault="005305A2" w:rsidP="00506A43">
            <w:pPr>
              <w:pStyle w:val="APA"/>
              <w:ind w:firstLine="0"/>
              <w:jc w:val="center"/>
            </w:pPr>
            <w:r w:rsidRPr="00506A43">
              <w:t>11.8%</w:t>
            </w:r>
          </w:p>
        </w:tc>
      </w:tr>
      <w:tr w:rsidR="00FB74D1" w:rsidRPr="00833AC5" w14:paraId="0EEB8981" w14:textId="77777777" w:rsidTr="00FB74D1">
        <w:tc>
          <w:tcPr>
            <w:tcW w:w="3192" w:type="dxa"/>
          </w:tcPr>
          <w:p w14:paraId="16961BE8" w14:textId="28958754" w:rsidR="00FB74D1" w:rsidRPr="00833AC5" w:rsidRDefault="00FB74D1" w:rsidP="00B262F5">
            <w:pPr>
              <w:pStyle w:val="APA"/>
              <w:ind w:firstLine="0"/>
              <w:rPr>
                <w:b/>
              </w:rPr>
            </w:pPr>
            <w:r w:rsidRPr="00833AC5">
              <w:rPr>
                <w:b/>
              </w:rPr>
              <w:t>% Asian</w:t>
            </w:r>
          </w:p>
        </w:tc>
        <w:tc>
          <w:tcPr>
            <w:tcW w:w="3192" w:type="dxa"/>
          </w:tcPr>
          <w:p w14:paraId="17B9585E" w14:textId="5E8E4624" w:rsidR="00FB74D1" w:rsidRPr="00506A43" w:rsidRDefault="005305A2" w:rsidP="00506A43">
            <w:pPr>
              <w:pStyle w:val="APA"/>
              <w:ind w:firstLine="0"/>
              <w:jc w:val="center"/>
            </w:pPr>
            <w:r w:rsidRPr="00506A43">
              <w:t>4.5%</w:t>
            </w:r>
          </w:p>
        </w:tc>
        <w:tc>
          <w:tcPr>
            <w:tcW w:w="3192" w:type="dxa"/>
          </w:tcPr>
          <w:p w14:paraId="3C7FD3C2" w14:textId="1325CD70" w:rsidR="00FB74D1" w:rsidRPr="00506A43" w:rsidRDefault="005305A2" w:rsidP="00506A43">
            <w:pPr>
              <w:pStyle w:val="APA"/>
              <w:ind w:firstLine="0"/>
              <w:jc w:val="center"/>
            </w:pPr>
            <w:r w:rsidRPr="00506A43">
              <w:t>7.6%</w:t>
            </w:r>
          </w:p>
        </w:tc>
      </w:tr>
      <w:tr w:rsidR="0045329A" w:rsidRPr="00833AC5" w14:paraId="66E8F68E" w14:textId="77777777" w:rsidTr="00FB74D1">
        <w:tc>
          <w:tcPr>
            <w:tcW w:w="3192" w:type="dxa"/>
          </w:tcPr>
          <w:p w14:paraId="290F4DFC" w14:textId="2C5312A5" w:rsidR="0045329A" w:rsidRPr="00833AC5" w:rsidRDefault="0045329A" w:rsidP="00B262F5">
            <w:pPr>
              <w:pStyle w:val="APA"/>
              <w:ind w:firstLine="0"/>
              <w:rPr>
                <w:b/>
              </w:rPr>
            </w:pPr>
            <w:r w:rsidRPr="00833AC5">
              <w:rPr>
                <w:b/>
              </w:rPr>
              <w:t>% Native Hawai</w:t>
            </w:r>
            <w:r w:rsidR="00BC13E7" w:rsidRPr="00833AC5">
              <w:rPr>
                <w:b/>
              </w:rPr>
              <w:t>ian &amp; Pacific Islander</w:t>
            </w:r>
          </w:p>
        </w:tc>
        <w:tc>
          <w:tcPr>
            <w:tcW w:w="3192" w:type="dxa"/>
          </w:tcPr>
          <w:p w14:paraId="4B2F7378" w14:textId="2C470CEB" w:rsidR="0045329A" w:rsidRPr="00506A43" w:rsidRDefault="005305A2" w:rsidP="00506A43">
            <w:pPr>
              <w:pStyle w:val="APA"/>
              <w:ind w:firstLine="0"/>
              <w:jc w:val="center"/>
            </w:pPr>
            <w:r w:rsidRPr="00506A43">
              <w:t>0.1%</w:t>
            </w:r>
          </w:p>
        </w:tc>
        <w:tc>
          <w:tcPr>
            <w:tcW w:w="3192" w:type="dxa"/>
          </w:tcPr>
          <w:p w14:paraId="766DA1E6" w14:textId="3CC754EF" w:rsidR="0045329A" w:rsidRPr="00506A43" w:rsidRDefault="005305A2" w:rsidP="00506A43">
            <w:pPr>
              <w:pStyle w:val="APA"/>
              <w:ind w:firstLine="0"/>
              <w:jc w:val="center"/>
            </w:pPr>
            <w:r w:rsidRPr="00506A43">
              <w:t>0.2%</w:t>
            </w:r>
          </w:p>
        </w:tc>
      </w:tr>
      <w:tr w:rsidR="0045329A" w:rsidRPr="00833AC5" w14:paraId="262115A1" w14:textId="77777777" w:rsidTr="00FB74D1">
        <w:tc>
          <w:tcPr>
            <w:tcW w:w="3192" w:type="dxa"/>
          </w:tcPr>
          <w:p w14:paraId="2A9EB024" w14:textId="182F7579" w:rsidR="0045329A" w:rsidRPr="00833AC5" w:rsidRDefault="00BC13E7" w:rsidP="00B262F5">
            <w:pPr>
              <w:pStyle w:val="APA"/>
              <w:ind w:firstLine="0"/>
              <w:rPr>
                <w:b/>
              </w:rPr>
            </w:pPr>
            <w:r w:rsidRPr="00833AC5">
              <w:rPr>
                <w:b/>
              </w:rPr>
              <w:t>% American Indian/Alaskan Native</w:t>
            </w:r>
          </w:p>
        </w:tc>
        <w:tc>
          <w:tcPr>
            <w:tcW w:w="3192" w:type="dxa"/>
          </w:tcPr>
          <w:p w14:paraId="24D821BB" w14:textId="46122C31" w:rsidR="0045329A" w:rsidRPr="00506A43" w:rsidRDefault="005305A2" w:rsidP="00506A43">
            <w:pPr>
              <w:pStyle w:val="APA"/>
              <w:ind w:firstLine="0"/>
              <w:jc w:val="center"/>
            </w:pPr>
            <w:r w:rsidRPr="00506A43">
              <w:t>0.8%</w:t>
            </w:r>
          </w:p>
        </w:tc>
        <w:tc>
          <w:tcPr>
            <w:tcW w:w="3192" w:type="dxa"/>
          </w:tcPr>
          <w:p w14:paraId="1292D5CF" w14:textId="423625B3" w:rsidR="0045329A" w:rsidRPr="00506A43" w:rsidRDefault="005305A2" w:rsidP="00506A43">
            <w:pPr>
              <w:pStyle w:val="APA"/>
              <w:ind w:firstLine="0"/>
              <w:jc w:val="center"/>
            </w:pPr>
            <w:r w:rsidRPr="00506A43">
              <w:t>0.8%</w:t>
            </w:r>
          </w:p>
        </w:tc>
      </w:tr>
      <w:tr w:rsidR="0045329A" w:rsidRPr="00833AC5" w14:paraId="6E6391E5" w14:textId="77777777" w:rsidTr="00FB74D1">
        <w:tc>
          <w:tcPr>
            <w:tcW w:w="3192" w:type="dxa"/>
          </w:tcPr>
          <w:p w14:paraId="70E17228" w14:textId="6FBA63C4" w:rsidR="0045329A" w:rsidRPr="00833AC5" w:rsidRDefault="00BC13E7" w:rsidP="00B262F5">
            <w:pPr>
              <w:pStyle w:val="APA"/>
              <w:ind w:firstLine="0"/>
              <w:rPr>
                <w:b/>
              </w:rPr>
            </w:pPr>
            <w:r w:rsidRPr="00833AC5">
              <w:rPr>
                <w:b/>
              </w:rPr>
              <w:t>% Two or more races</w:t>
            </w:r>
          </w:p>
        </w:tc>
        <w:tc>
          <w:tcPr>
            <w:tcW w:w="3192" w:type="dxa"/>
          </w:tcPr>
          <w:p w14:paraId="13E568F6" w14:textId="65770A4F" w:rsidR="0045329A" w:rsidRPr="00506A43" w:rsidRDefault="00506A43" w:rsidP="00506A43">
            <w:pPr>
              <w:pStyle w:val="APA"/>
              <w:ind w:firstLine="0"/>
              <w:jc w:val="center"/>
            </w:pPr>
            <w:r w:rsidRPr="00506A43">
              <w:t>1.5%</w:t>
            </w:r>
          </w:p>
        </w:tc>
        <w:tc>
          <w:tcPr>
            <w:tcW w:w="3192" w:type="dxa"/>
          </w:tcPr>
          <w:p w14:paraId="62F865BB" w14:textId="22D3607A" w:rsidR="0045329A" w:rsidRPr="00506A43" w:rsidRDefault="00506A43" w:rsidP="00506A43">
            <w:pPr>
              <w:pStyle w:val="APA"/>
              <w:ind w:firstLine="0"/>
              <w:jc w:val="center"/>
            </w:pPr>
            <w:r w:rsidRPr="00506A43">
              <w:t>3.0%</w:t>
            </w:r>
          </w:p>
        </w:tc>
      </w:tr>
    </w:tbl>
    <w:p w14:paraId="504F81B9" w14:textId="23B58195" w:rsidR="00FB74D1" w:rsidRPr="00E1677E" w:rsidRDefault="00E1677E" w:rsidP="00B262F5">
      <w:pPr>
        <w:pStyle w:val="APA"/>
        <w:ind w:firstLine="0"/>
      </w:pPr>
      <w:bookmarkStart w:id="10" w:name="C410147074768519I0T410147116782407"/>
      <w:r w:rsidRPr="00E1677E">
        <w:lastRenderedPageBreak/>
        <w:t>(Kaiser Family Foundation [KFF], 2010)</w:t>
      </w:r>
      <w:bookmarkEnd w:id="10"/>
    </w:p>
    <w:p w14:paraId="3AF0E871" w14:textId="6591A1D5" w:rsidR="00EE2F23" w:rsidRDefault="00EE2F23" w:rsidP="00B262F5">
      <w:pPr>
        <w:pStyle w:val="APA"/>
        <w:ind w:firstLine="0"/>
        <w:rPr>
          <w:b/>
        </w:rPr>
      </w:pPr>
      <w:r w:rsidRPr="00833AC5">
        <w:rPr>
          <w:b/>
        </w:rPr>
        <w:t xml:space="preserve">4. What impact do you believe the changes projected for 2050 may have on the profession of nursing? </w:t>
      </w:r>
    </w:p>
    <w:p w14:paraId="57978497" w14:textId="6639DECD" w:rsidR="00B50C4B" w:rsidRPr="00B50C4B" w:rsidRDefault="00B50C4B" w:rsidP="00B262F5">
      <w:pPr>
        <w:pStyle w:val="APA"/>
        <w:ind w:firstLine="0"/>
      </w:pPr>
      <w:r>
        <w:rPr>
          <w:b/>
        </w:rPr>
        <w:tab/>
      </w:r>
      <w:r>
        <w:t>Looking at the projected changes, the Hispanic and Asian populations show the largest increase.  Therefore, I think it is important that nurses be culturally competent regarding religion, diet, family values,</w:t>
      </w:r>
      <w:r w:rsidR="00B654AD">
        <w:t xml:space="preserve"> and</w:t>
      </w:r>
      <w:r>
        <w:t xml:space="preserve"> beliefs surround</w:t>
      </w:r>
      <w:r w:rsidR="00B654AD">
        <w:t xml:space="preserve">ing death and illness.  Likewise, nurses need to know how to properly communicate with patients of Hispanic or Asian decent.  </w:t>
      </w:r>
      <w:r w:rsidR="009E6474">
        <w:t>I wouldn’t be surprised if being in fluent Spanish became a job require</w:t>
      </w:r>
      <w:r w:rsidR="00867943">
        <w:t xml:space="preserve">ment, especially in the South.  Since the Asian population speaks multiple languages, I think nurses need to be comfortable working with interpreters.  Communication is a vital component of providing quality patient care.    </w:t>
      </w:r>
    </w:p>
    <w:p w14:paraId="3D1D40E1" w14:textId="77777777" w:rsidR="00CA1B8E" w:rsidRDefault="00EE2F23" w:rsidP="00B262F5">
      <w:pPr>
        <w:pStyle w:val="APA"/>
        <w:ind w:firstLine="0"/>
        <w:rPr>
          <w:b/>
        </w:rPr>
      </w:pPr>
      <w:r w:rsidRPr="00833AC5">
        <w:rPr>
          <w:b/>
        </w:rPr>
        <w:t>5. Take several minutes to fill out the Heritage Assessment Tool.  As the instructions indicate, add the positive responses and briefly discuss your personal identification with traditional heritage versus a North American, modern culture.</w:t>
      </w:r>
    </w:p>
    <w:p w14:paraId="11C8F5FD" w14:textId="100C7B43" w:rsidR="00EE2F23" w:rsidRPr="00833AC5" w:rsidRDefault="00CA1B8E" w:rsidP="00B262F5">
      <w:pPr>
        <w:pStyle w:val="APA"/>
        <w:ind w:firstLine="0"/>
        <w:rPr>
          <w:b/>
        </w:rPr>
      </w:pPr>
      <w:r>
        <w:tab/>
      </w:r>
      <w:r w:rsidR="00042C2E">
        <w:t>First of all, I am not a fan of this assessment and don’t understand what a “positive” response means.  Why should choosing not to attend church be deemed “negative”?  Anyway, my parents and grandparents were all born in the United States.  I maintain contact with my immediate family on a weekly basis and my extended family on a monthly basis.  I grew up in a rural community and attended public school.  I was baptized as Lutheran, but have only attended church a handful of times.  My family was more spiritual than religious.</w:t>
      </w:r>
      <w:r w:rsidR="00D228B6">
        <w:t xml:space="preserve">  I consider myself an average American.  While Christianity is associated with the North American culture, a large number of Americans either don’t attend church or consider themselves religious, yet sin everyday.  Hence, I personally don’t believe religion should define </w:t>
      </w:r>
      <w:r w:rsidR="00951A77">
        <w:t xml:space="preserve">the </w:t>
      </w:r>
      <w:r w:rsidR="00D228B6">
        <w:t xml:space="preserve">North American culture.  </w:t>
      </w:r>
      <w:r w:rsidR="00042C2E">
        <w:t xml:space="preserve">  </w:t>
      </w:r>
      <w:r w:rsidR="00EE2F23" w:rsidRPr="00833AC5">
        <w:rPr>
          <w:b/>
        </w:rPr>
        <w:t xml:space="preserve">  </w:t>
      </w:r>
    </w:p>
    <w:p w14:paraId="62B1368C" w14:textId="77777777" w:rsidR="00C81A26" w:rsidRPr="00833AC5" w:rsidRDefault="00C81A26" w:rsidP="00B262F5">
      <w:pPr>
        <w:pStyle w:val="APA"/>
        <w:ind w:firstLine="0"/>
        <w:rPr>
          <w:b/>
        </w:rPr>
      </w:pPr>
      <w:r w:rsidRPr="00833AC5">
        <w:rPr>
          <w:b/>
        </w:rPr>
        <w:lastRenderedPageBreak/>
        <w:t>6. What additional strategies would be appropriate in preparing to assess culture in an older person? Select all that apply.</w:t>
      </w:r>
    </w:p>
    <w:p w14:paraId="18ABA609" w14:textId="77777777" w:rsidR="00C81A26" w:rsidRPr="00895B11" w:rsidRDefault="00C81A26" w:rsidP="00B262F5">
      <w:pPr>
        <w:pStyle w:val="APA"/>
        <w:ind w:firstLine="0"/>
      </w:pPr>
      <w:r w:rsidRPr="00895B11">
        <w:t xml:space="preserve"> a. Addressing the individual by the first name. </w:t>
      </w:r>
    </w:p>
    <w:p w14:paraId="7BEB4EAE" w14:textId="77777777" w:rsidR="00C81A26" w:rsidRPr="00895B11" w:rsidRDefault="00C81A26" w:rsidP="00B262F5">
      <w:pPr>
        <w:pStyle w:val="APA"/>
        <w:ind w:firstLine="0"/>
      </w:pPr>
      <w:r w:rsidRPr="00895B11">
        <w:t xml:space="preserve">b. Avoid any type of informal conversation (a.k.a. “chit-chat”) </w:t>
      </w:r>
    </w:p>
    <w:p w14:paraId="787D1B99" w14:textId="77777777" w:rsidR="00C81A26" w:rsidRPr="00895B11" w:rsidRDefault="00C81A26" w:rsidP="00B262F5">
      <w:pPr>
        <w:pStyle w:val="APA"/>
        <w:ind w:firstLine="0"/>
      </w:pPr>
      <w:r w:rsidRPr="00895B11">
        <w:rPr>
          <w:highlight w:val="yellow"/>
        </w:rPr>
        <w:t>c. Avoid the “invisible patient syndrome”</w:t>
      </w:r>
      <w:r w:rsidRPr="00895B11">
        <w:t xml:space="preserve"> </w:t>
      </w:r>
    </w:p>
    <w:p w14:paraId="6369833F" w14:textId="7298B5D0" w:rsidR="00C81A26" w:rsidRPr="00895B11" w:rsidRDefault="00C81A26" w:rsidP="00B262F5">
      <w:pPr>
        <w:pStyle w:val="APA"/>
        <w:ind w:firstLine="0"/>
      </w:pPr>
      <w:r w:rsidRPr="00895B11">
        <w:rPr>
          <w:highlight w:val="yellow"/>
        </w:rPr>
        <w:t>d. Ask for help in understanding the client's cultural components as needed.</w:t>
      </w:r>
    </w:p>
    <w:p w14:paraId="3C6C07BB" w14:textId="5168D9A0" w:rsidR="0027050C" w:rsidRDefault="0027050C" w:rsidP="00B262F5">
      <w:pPr>
        <w:pStyle w:val="APA"/>
        <w:ind w:firstLine="0"/>
        <w:rPr>
          <w:b/>
        </w:rPr>
      </w:pPr>
      <w:r w:rsidRPr="00833AC5">
        <w:rPr>
          <w:b/>
        </w:rPr>
        <w:t>7. For each of the following categories, list one strategy the nurse should implement for a specific identified cultural group: physical distance, eye contact, emotional expressiveness, and body movements.</w:t>
      </w:r>
    </w:p>
    <w:p w14:paraId="4AB66FA0" w14:textId="198B9D4E" w:rsidR="004B18F6" w:rsidRPr="004B18F6" w:rsidRDefault="004B18F6" w:rsidP="00B262F5">
      <w:pPr>
        <w:pStyle w:val="APA"/>
        <w:ind w:firstLine="0"/>
      </w:pPr>
      <w:r>
        <w:tab/>
        <w:t>The nurse should implement the followin</w:t>
      </w:r>
      <w:r w:rsidR="00F44DB6">
        <w:t xml:space="preserve">g strategies while communicating with a </w:t>
      </w:r>
      <w:r>
        <w:t>patient of Asian culture.</w:t>
      </w:r>
      <w:r w:rsidR="00F44DB6">
        <w:t xml:space="preserve">  Some Asian cultures prefer a greater physical distance between the nurse and patient.  Therefore, it may be helpful to ask the patient where he or she would like the nurse to sit, or tell the patient so sit wherever he or she feels comfortable.  Eye contact should be avoided since some Asian c</w:t>
      </w:r>
      <w:r w:rsidR="009F284D">
        <w:t xml:space="preserve">ultures find it disrespectful.  In regard to emotional expressiveness, some Asian cultures may use laughter or a smile to mask true emotions.  Thus, further investigation may be warranted if the nurse finds inconsistency between the topic at hand and the patient’s emotions.  </w:t>
      </w:r>
      <w:r w:rsidR="00F44DB6">
        <w:t xml:space="preserve">As for body movements, avoid the use </w:t>
      </w:r>
      <w:r w:rsidR="009F284D">
        <w:t>of hand gestures and pointing</w:t>
      </w:r>
      <w:r w:rsidR="0044121F">
        <w:t xml:space="preserve"> </w:t>
      </w:r>
      <w:bookmarkStart w:id="11" w:name="C410145645486111I0T410146336921296"/>
      <w:r w:rsidR="0044121F">
        <w:t xml:space="preserve">(McBride, </w:t>
      </w:r>
      <w:proofErr w:type="spellStart"/>
      <w:r w:rsidR="0044121F">
        <w:t>n.d.</w:t>
      </w:r>
      <w:proofErr w:type="spellEnd"/>
      <w:r w:rsidR="0044121F">
        <w:t>)</w:t>
      </w:r>
      <w:bookmarkEnd w:id="11"/>
      <w:r w:rsidR="009F284D">
        <w:t xml:space="preserve">.  </w:t>
      </w:r>
      <w:r>
        <w:t xml:space="preserve"> </w:t>
      </w:r>
    </w:p>
    <w:p w14:paraId="07187C65" w14:textId="6C69DEFF" w:rsidR="0027050C" w:rsidRDefault="0027050C" w:rsidP="00B262F5">
      <w:pPr>
        <w:pStyle w:val="APA"/>
        <w:ind w:firstLine="0"/>
        <w:rPr>
          <w:b/>
        </w:rPr>
      </w:pPr>
      <w:r w:rsidRPr="00833AC5">
        <w:rPr>
          <w:b/>
        </w:rPr>
        <w:t xml:space="preserve">8. Watch the video entitled “Cultural Competence for Healthcare Providers” (2009). Comment on any new information you acquired or your reaction to the content.  </w:t>
      </w:r>
    </w:p>
    <w:p w14:paraId="52583265" w14:textId="4540DB30" w:rsidR="00260BF4" w:rsidRPr="00260BF4" w:rsidRDefault="00260BF4" w:rsidP="00B262F5">
      <w:pPr>
        <w:pStyle w:val="APA"/>
        <w:ind w:firstLine="0"/>
      </w:pPr>
      <w:r>
        <w:rPr>
          <w:b/>
        </w:rPr>
        <w:tab/>
      </w:r>
      <w:r>
        <w:t>This video was sad and frustrating.  It made me realize that</w:t>
      </w:r>
      <w:r w:rsidR="000411B6">
        <w:t xml:space="preserve"> there needs to be a heavier emphasis on</w:t>
      </w:r>
      <w:r>
        <w:t xml:space="preserve"> </w:t>
      </w:r>
      <w:r w:rsidR="000411B6">
        <w:t>cultural competence.  All members of the healthcare team should understand cultural variations and know how to direct care based on t</w:t>
      </w:r>
      <w:r w:rsidR="001A453E">
        <w:t xml:space="preserve">he patient’s race or ethnicity.  I found it really disturbing when Danielle </w:t>
      </w:r>
      <w:proofErr w:type="spellStart"/>
      <w:r w:rsidR="001A453E">
        <w:t>Marotta</w:t>
      </w:r>
      <w:proofErr w:type="spellEnd"/>
      <w:r w:rsidR="001A453E">
        <w:t xml:space="preserve"> commented on the fact that nursing students are taught </w:t>
      </w:r>
      <w:r w:rsidR="001A453E">
        <w:lastRenderedPageBreak/>
        <w:t>to recognize that there are cultural differences, but are never taught how to address these differences while providing care</w:t>
      </w:r>
      <w:r w:rsidR="00C74D3E">
        <w:t xml:space="preserve"> </w:t>
      </w:r>
      <w:bookmarkStart w:id="12" w:name="C410146645023148I0T410146658912037"/>
      <w:r w:rsidR="00C74D3E">
        <w:t>(rbixby2, 2009)</w:t>
      </w:r>
      <w:bookmarkEnd w:id="12"/>
      <w:r w:rsidR="001A453E">
        <w:t xml:space="preserve">.  Overall, this video was motivation to become more culturally competent and possibly learn a second language.    </w:t>
      </w:r>
    </w:p>
    <w:p w14:paraId="3DD51CA6" w14:textId="617C4EC5" w:rsidR="00147C02" w:rsidRPr="00833AC5" w:rsidRDefault="00147C02" w:rsidP="00B262F5">
      <w:pPr>
        <w:pStyle w:val="APA"/>
        <w:ind w:firstLine="0"/>
        <w:rPr>
          <w:b/>
        </w:rPr>
      </w:pPr>
      <w:r w:rsidRPr="00833AC5">
        <w:rPr>
          <w:b/>
        </w:rPr>
        <w:t>18.2</w:t>
      </w:r>
      <w:r w:rsidR="00764406">
        <w:rPr>
          <w:b/>
        </w:rPr>
        <w:t xml:space="preserve"> Part II</w:t>
      </w:r>
    </w:p>
    <w:p w14:paraId="31C02F56" w14:textId="77777777" w:rsidR="00147C02" w:rsidRDefault="00147C02" w:rsidP="00B262F5">
      <w:pPr>
        <w:pStyle w:val="APA"/>
        <w:ind w:firstLine="0"/>
        <w:rPr>
          <w:b/>
        </w:rPr>
      </w:pPr>
      <w:r w:rsidRPr="00833AC5">
        <w:rPr>
          <w:b/>
        </w:rPr>
        <w:t xml:space="preserve">1. </w:t>
      </w:r>
      <w:proofErr w:type="spellStart"/>
      <w:r w:rsidRPr="00833AC5">
        <w:rPr>
          <w:b/>
        </w:rPr>
        <w:t>Ethnogeriatrics</w:t>
      </w:r>
      <w:proofErr w:type="spellEnd"/>
      <w:r w:rsidRPr="00833AC5">
        <w:rPr>
          <w:b/>
        </w:rPr>
        <w:t xml:space="preserve"> may be a term students and nurses are unfamiliar with; provide a definition. </w:t>
      </w:r>
    </w:p>
    <w:p w14:paraId="750344FB" w14:textId="4E792197" w:rsidR="00350BF2" w:rsidRPr="00D76C9A" w:rsidRDefault="00350BF2" w:rsidP="00B262F5">
      <w:pPr>
        <w:pStyle w:val="APA"/>
        <w:ind w:firstLine="0"/>
      </w:pPr>
      <w:r>
        <w:rPr>
          <w:b/>
        </w:rPr>
        <w:tab/>
      </w:r>
      <w:proofErr w:type="spellStart"/>
      <w:r>
        <w:t>Ethnogeriatrics</w:t>
      </w:r>
      <w:proofErr w:type="spellEnd"/>
      <w:r>
        <w:t xml:space="preserve"> is “</w:t>
      </w:r>
      <w:proofErr w:type="gramStart"/>
      <w:r>
        <w:t>health care</w:t>
      </w:r>
      <w:proofErr w:type="gramEnd"/>
      <w:r>
        <w:t xml:space="preserve"> for older persons from diverse ethnic populations” </w:t>
      </w:r>
      <w:bookmarkStart w:id="13" w:name="C410145645486111I0T410146399884259"/>
      <w:r w:rsidR="00D76C9A">
        <w:t xml:space="preserve">(McBride, </w:t>
      </w:r>
      <w:proofErr w:type="spellStart"/>
      <w:r w:rsidR="00D76C9A">
        <w:t>n.d.</w:t>
      </w:r>
      <w:proofErr w:type="spellEnd"/>
      <w:r w:rsidR="00D76C9A">
        <w:t xml:space="preserve">, </w:t>
      </w:r>
      <w:proofErr w:type="spellStart"/>
      <w:r w:rsidR="00D76C9A">
        <w:t>para</w:t>
      </w:r>
      <w:proofErr w:type="spellEnd"/>
      <w:r w:rsidR="00D76C9A">
        <w:t>. 30)</w:t>
      </w:r>
      <w:bookmarkEnd w:id="13"/>
      <w:r w:rsidR="00D76C9A">
        <w:t xml:space="preserve">.  </w:t>
      </w:r>
    </w:p>
    <w:p w14:paraId="33B8E027" w14:textId="34E4BDA6" w:rsidR="00147C02" w:rsidRDefault="00147C02" w:rsidP="00B262F5">
      <w:pPr>
        <w:pStyle w:val="APA"/>
        <w:ind w:firstLine="0"/>
        <w:rPr>
          <w:b/>
        </w:rPr>
      </w:pPr>
      <w:r w:rsidRPr="00833AC5">
        <w:rPr>
          <w:b/>
        </w:rPr>
        <w:t xml:space="preserve">2. Mr. Rivera was noted as being Hispanic; what further definition is used by the U.S. Census to note the countries included for this ethnicity category? </w:t>
      </w:r>
    </w:p>
    <w:p w14:paraId="20C8F496" w14:textId="4657E4AE" w:rsidR="00F23324" w:rsidRPr="00F23324" w:rsidRDefault="00F23324" w:rsidP="00B262F5">
      <w:pPr>
        <w:pStyle w:val="APA"/>
        <w:ind w:firstLine="0"/>
        <w:rPr>
          <w:szCs w:val="24"/>
        </w:rPr>
      </w:pPr>
      <w:r>
        <w:rPr>
          <w:b/>
        </w:rPr>
        <w:tab/>
      </w:r>
      <w:r w:rsidR="007700FE" w:rsidRPr="007700FE">
        <w:t>“</w:t>
      </w:r>
      <w:r w:rsidR="007700FE">
        <w:rPr>
          <w:szCs w:val="24"/>
        </w:rPr>
        <w:t>‘</w:t>
      </w:r>
      <w:r w:rsidRPr="00F23324">
        <w:rPr>
          <w:szCs w:val="24"/>
        </w:rPr>
        <w:t>A person of Cuban, Mexican, Puerto Rican, South or Central American, or other Spanish Cultur</w:t>
      </w:r>
      <w:r>
        <w:rPr>
          <w:szCs w:val="24"/>
        </w:rPr>
        <w:t>e or origin, regardless of race</w:t>
      </w:r>
      <w:r w:rsidR="007700FE">
        <w:rPr>
          <w:szCs w:val="24"/>
        </w:rPr>
        <w:t>’</w:t>
      </w:r>
      <w:r>
        <w:rPr>
          <w:szCs w:val="24"/>
        </w:rPr>
        <w:t>”</w:t>
      </w:r>
      <w:r w:rsidR="007700FE">
        <w:rPr>
          <w:szCs w:val="24"/>
        </w:rPr>
        <w:t xml:space="preserve"> </w:t>
      </w:r>
      <w:bookmarkStart w:id="14" w:name="C410146735648148I0T410146782407407"/>
      <w:r w:rsidR="00764406">
        <w:rPr>
          <w:szCs w:val="24"/>
        </w:rPr>
        <w:t>(</w:t>
      </w:r>
      <w:proofErr w:type="spellStart"/>
      <w:r w:rsidR="00764406">
        <w:rPr>
          <w:szCs w:val="24"/>
        </w:rPr>
        <w:t>Talamantes</w:t>
      </w:r>
      <w:proofErr w:type="spellEnd"/>
      <w:r w:rsidR="00764406">
        <w:rPr>
          <w:szCs w:val="24"/>
        </w:rPr>
        <w:t xml:space="preserve">, Lindeman, &amp; Mouton, 2001, </w:t>
      </w:r>
      <w:proofErr w:type="spellStart"/>
      <w:r w:rsidR="00764406">
        <w:rPr>
          <w:szCs w:val="24"/>
        </w:rPr>
        <w:t>para</w:t>
      </w:r>
      <w:proofErr w:type="spellEnd"/>
      <w:r w:rsidR="00764406">
        <w:rPr>
          <w:szCs w:val="24"/>
        </w:rPr>
        <w:t>. 4)</w:t>
      </w:r>
      <w:bookmarkEnd w:id="14"/>
      <w:r w:rsidR="00764406">
        <w:rPr>
          <w:szCs w:val="24"/>
        </w:rPr>
        <w:t>.</w:t>
      </w:r>
      <w:r w:rsidR="007700FE">
        <w:rPr>
          <w:szCs w:val="24"/>
        </w:rPr>
        <w:t xml:space="preserve">    </w:t>
      </w:r>
    </w:p>
    <w:p w14:paraId="33E19B57" w14:textId="77777777" w:rsidR="002E056B" w:rsidRDefault="002E056B" w:rsidP="00B262F5">
      <w:pPr>
        <w:pStyle w:val="APA"/>
        <w:ind w:firstLine="0"/>
        <w:rPr>
          <w:b/>
        </w:rPr>
      </w:pPr>
      <w:r w:rsidRPr="00833AC5">
        <w:rPr>
          <w:b/>
        </w:rPr>
        <w:t>3. Describe what a “level of acculturation” entails? Why is it important to know?</w:t>
      </w:r>
    </w:p>
    <w:p w14:paraId="31E8634F" w14:textId="5977159B" w:rsidR="00F05DFB" w:rsidRPr="00A324B4" w:rsidRDefault="00F05DFB" w:rsidP="00A324B4">
      <w:pPr>
        <w:pStyle w:val="APA"/>
        <w:rPr>
          <w:b/>
          <w:szCs w:val="24"/>
        </w:rPr>
      </w:pPr>
      <w:r>
        <w:rPr>
          <w:color w:val="343434"/>
          <w:szCs w:val="24"/>
        </w:rPr>
        <w:t>“</w:t>
      </w:r>
      <w:r w:rsidRPr="00F05DFB">
        <w:rPr>
          <w:color w:val="343434"/>
          <w:szCs w:val="24"/>
        </w:rPr>
        <w:t xml:space="preserve">The degree in which an ethnic older person has integrated the cultural beliefs, values, and practices of </w:t>
      </w:r>
      <w:r>
        <w:rPr>
          <w:color w:val="343434"/>
          <w:szCs w:val="24"/>
        </w:rPr>
        <w:t xml:space="preserve">the mainstream society into [his or her] cultural beliefs and values.  </w:t>
      </w:r>
      <w:r w:rsidRPr="00F05DFB">
        <w:rPr>
          <w:color w:val="343434"/>
          <w:szCs w:val="24"/>
        </w:rPr>
        <w:t>The blending of these cultural domains enables the patient to acquire a set of skills and level of comfort to carry on everyday living in mainstream society</w:t>
      </w:r>
      <w:r>
        <w:rPr>
          <w:color w:val="343434"/>
          <w:szCs w:val="24"/>
        </w:rPr>
        <w:t xml:space="preserve">” </w:t>
      </w:r>
      <w:bookmarkStart w:id="15" w:name="C410145645486111I0T410146867592593"/>
      <w:r w:rsidR="00844D2F">
        <w:rPr>
          <w:color w:val="343434"/>
          <w:szCs w:val="24"/>
        </w:rPr>
        <w:t xml:space="preserve">(McBride, </w:t>
      </w:r>
      <w:proofErr w:type="spellStart"/>
      <w:r w:rsidR="00844D2F">
        <w:rPr>
          <w:color w:val="343434"/>
          <w:szCs w:val="24"/>
        </w:rPr>
        <w:t>n.d.</w:t>
      </w:r>
      <w:proofErr w:type="spellEnd"/>
      <w:r w:rsidR="00844D2F">
        <w:rPr>
          <w:color w:val="343434"/>
          <w:szCs w:val="24"/>
        </w:rPr>
        <w:t xml:space="preserve">, </w:t>
      </w:r>
      <w:proofErr w:type="spellStart"/>
      <w:r w:rsidR="00844D2F">
        <w:rPr>
          <w:color w:val="343434"/>
          <w:szCs w:val="24"/>
        </w:rPr>
        <w:t>para</w:t>
      </w:r>
      <w:proofErr w:type="spellEnd"/>
      <w:r w:rsidR="00844D2F">
        <w:rPr>
          <w:color w:val="343434"/>
          <w:szCs w:val="24"/>
        </w:rPr>
        <w:t>. 66)</w:t>
      </w:r>
      <w:bookmarkEnd w:id="15"/>
      <w:r w:rsidR="00844D2F">
        <w:rPr>
          <w:color w:val="343434"/>
          <w:szCs w:val="24"/>
        </w:rPr>
        <w:t xml:space="preserve">.  </w:t>
      </w:r>
      <w:r w:rsidR="003241EB">
        <w:rPr>
          <w:color w:val="343434"/>
          <w:szCs w:val="24"/>
        </w:rPr>
        <w:t xml:space="preserve">It is important to know a patient’s level of acculturation in order to create a proper comparison to mainstream society.  This avoids false assumptions about the similarities and differences between ethnic and mainstream elders </w:t>
      </w:r>
      <w:bookmarkStart w:id="16" w:name="C410145645486111I0T410146922916667"/>
      <w:r w:rsidR="003241EB">
        <w:rPr>
          <w:color w:val="343434"/>
          <w:szCs w:val="24"/>
        </w:rPr>
        <w:t xml:space="preserve">(McBride, </w:t>
      </w:r>
      <w:proofErr w:type="spellStart"/>
      <w:r w:rsidR="003241EB">
        <w:rPr>
          <w:color w:val="343434"/>
          <w:szCs w:val="24"/>
        </w:rPr>
        <w:t>n.d.</w:t>
      </w:r>
      <w:proofErr w:type="spellEnd"/>
      <w:r w:rsidR="003241EB">
        <w:rPr>
          <w:color w:val="343434"/>
          <w:szCs w:val="24"/>
        </w:rPr>
        <w:t>)</w:t>
      </w:r>
      <w:bookmarkEnd w:id="16"/>
      <w:r w:rsidR="003241EB">
        <w:rPr>
          <w:color w:val="343434"/>
          <w:szCs w:val="24"/>
        </w:rPr>
        <w:t xml:space="preserve">.    </w:t>
      </w:r>
      <w:r>
        <w:rPr>
          <w:color w:val="343434"/>
          <w:szCs w:val="24"/>
        </w:rPr>
        <w:t xml:space="preserve"> </w:t>
      </w:r>
      <w:r>
        <w:rPr>
          <w:b/>
        </w:rPr>
        <w:tab/>
      </w:r>
    </w:p>
    <w:p w14:paraId="0F077948" w14:textId="39C6883C" w:rsidR="002E056B" w:rsidRDefault="002E056B" w:rsidP="00B262F5">
      <w:pPr>
        <w:pStyle w:val="APA"/>
        <w:ind w:firstLine="0"/>
        <w:rPr>
          <w:b/>
        </w:rPr>
      </w:pPr>
      <w:r w:rsidRPr="00833AC5">
        <w:rPr>
          <w:b/>
        </w:rPr>
        <w:t xml:space="preserve">4. What is recommended as informal indicators of acculturation that can be used quickly by a health care provider for assessment?  </w:t>
      </w:r>
    </w:p>
    <w:p w14:paraId="2DD45BD1" w14:textId="42B3A4CF" w:rsidR="00E146BB" w:rsidRPr="00E146BB" w:rsidRDefault="00E146BB" w:rsidP="00B262F5">
      <w:pPr>
        <w:pStyle w:val="APA"/>
        <w:ind w:firstLine="0"/>
      </w:pPr>
      <w:r>
        <w:rPr>
          <w:b/>
        </w:rPr>
        <w:lastRenderedPageBreak/>
        <w:tab/>
      </w:r>
      <w:r>
        <w:t xml:space="preserve">Informal indicators include the following: language spoken at home, verbal English fluency, written English fluency, length of time the patient’s ancestors have lived in the United States, and length of time the patient has lived in the U.S. </w:t>
      </w:r>
      <w:bookmarkStart w:id="17" w:name="C410145645486111I0T410146825462963"/>
      <w:r>
        <w:t xml:space="preserve">(McBride, </w:t>
      </w:r>
      <w:proofErr w:type="spellStart"/>
      <w:r>
        <w:t>n.d.</w:t>
      </w:r>
      <w:proofErr w:type="spellEnd"/>
      <w:r>
        <w:t>)</w:t>
      </w:r>
      <w:bookmarkEnd w:id="17"/>
      <w:r>
        <w:t xml:space="preserve">.  </w:t>
      </w:r>
    </w:p>
    <w:p w14:paraId="10654808" w14:textId="343D5A2A" w:rsidR="002E056B" w:rsidRDefault="002E056B" w:rsidP="00B262F5">
      <w:pPr>
        <w:pStyle w:val="APA"/>
        <w:ind w:firstLine="0"/>
        <w:rPr>
          <w:b/>
        </w:rPr>
      </w:pPr>
      <w:r w:rsidRPr="00833AC5">
        <w:rPr>
          <w:b/>
        </w:rPr>
        <w:t xml:space="preserve">5. Will an interpreter or a translator be contacted to assist with the health intake interview? </w:t>
      </w:r>
    </w:p>
    <w:p w14:paraId="42D0E2B0" w14:textId="449AC24D" w:rsidR="00E30C3D" w:rsidRPr="00E30C3D" w:rsidRDefault="00E30C3D" w:rsidP="00B262F5">
      <w:pPr>
        <w:pStyle w:val="APA"/>
        <w:ind w:firstLine="0"/>
      </w:pPr>
      <w:r>
        <w:rPr>
          <w:b/>
        </w:rPr>
        <w:tab/>
      </w:r>
      <w:r>
        <w:t xml:space="preserve">An interpreter will be contacted because interpreters convert verbal communication </w:t>
      </w:r>
      <w:bookmarkStart w:id="18" w:name="C410145645486111I0T410146994791667"/>
      <w:r>
        <w:t xml:space="preserve">(McBride, </w:t>
      </w:r>
      <w:proofErr w:type="spellStart"/>
      <w:r>
        <w:t>n.d.</w:t>
      </w:r>
      <w:proofErr w:type="spellEnd"/>
      <w:r>
        <w:t>)</w:t>
      </w:r>
      <w:bookmarkEnd w:id="18"/>
      <w:r>
        <w:t>.</w:t>
      </w:r>
    </w:p>
    <w:p w14:paraId="2C83A3FA" w14:textId="77777777" w:rsidR="002E056B" w:rsidRPr="00833AC5" w:rsidRDefault="002E056B" w:rsidP="00B262F5">
      <w:pPr>
        <w:pStyle w:val="APA"/>
        <w:ind w:firstLine="0"/>
        <w:rPr>
          <w:b/>
        </w:rPr>
      </w:pPr>
      <w:r w:rsidRPr="00833AC5">
        <w:rPr>
          <w:b/>
        </w:rPr>
        <w:t xml:space="preserve">6. Which of the following is included in suggestions for successful communication with an elderly Hispanic/Latino client? Select all that apply. </w:t>
      </w:r>
    </w:p>
    <w:p w14:paraId="2FF73E7F" w14:textId="77777777" w:rsidR="002E056B" w:rsidRPr="00CF1F9E" w:rsidRDefault="002E056B" w:rsidP="00B262F5">
      <w:pPr>
        <w:pStyle w:val="APA"/>
        <w:ind w:firstLine="0"/>
      </w:pPr>
      <w:r w:rsidRPr="00CF1F9E">
        <w:t xml:space="preserve">a. Gesturing with the hands is encouraged </w:t>
      </w:r>
    </w:p>
    <w:p w14:paraId="2280711C" w14:textId="77777777" w:rsidR="002E056B" w:rsidRPr="00CF1F9E" w:rsidRDefault="002E056B" w:rsidP="00B262F5">
      <w:pPr>
        <w:pStyle w:val="APA"/>
        <w:ind w:firstLine="0"/>
      </w:pPr>
      <w:r w:rsidRPr="00CF1F9E">
        <w:rPr>
          <w:highlight w:val="yellow"/>
        </w:rPr>
        <w:t>b. Address the individual by their last name</w:t>
      </w:r>
      <w:r w:rsidRPr="00CF1F9E">
        <w:t xml:space="preserve"> </w:t>
      </w:r>
    </w:p>
    <w:p w14:paraId="2EEDD50D" w14:textId="77777777" w:rsidR="002E056B" w:rsidRPr="00CF1F9E" w:rsidRDefault="002E056B" w:rsidP="00B262F5">
      <w:pPr>
        <w:pStyle w:val="APA"/>
        <w:ind w:firstLine="0"/>
      </w:pPr>
      <w:proofErr w:type="gramStart"/>
      <w:r w:rsidRPr="00CF1F9E">
        <w:rPr>
          <w:highlight w:val="yellow"/>
        </w:rPr>
        <w:t>c</w:t>
      </w:r>
      <w:proofErr w:type="gramEnd"/>
      <w:r w:rsidRPr="00CF1F9E">
        <w:rPr>
          <w:highlight w:val="yellow"/>
        </w:rPr>
        <w:t>. Knowing some persons nod “yes,” but do not comprehend the message</w:t>
      </w:r>
      <w:r w:rsidRPr="00CF1F9E">
        <w:t xml:space="preserve"> </w:t>
      </w:r>
    </w:p>
    <w:p w14:paraId="562DC076" w14:textId="7513204C" w:rsidR="002E056B" w:rsidRPr="00CF1F9E" w:rsidRDefault="002E056B" w:rsidP="00B262F5">
      <w:pPr>
        <w:pStyle w:val="APA"/>
        <w:ind w:firstLine="0"/>
      </w:pPr>
      <w:r w:rsidRPr="00CF1F9E">
        <w:rPr>
          <w:highlight w:val="yellow"/>
        </w:rPr>
        <w:t>d. Realizing questioning of authority may be considered unacceptable</w:t>
      </w:r>
      <w:r w:rsidRPr="00CF1F9E">
        <w:t xml:space="preserve"> </w:t>
      </w:r>
    </w:p>
    <w:p w14:paraId="40543AD7" w14:textId="467F8AA2" w:rsidR="00143F65" w:rsidRPr="00833AC5" w:rsidRDefault="00143F65" w:rsidP="00B262F5">
      <w:pPr>
        <w:pStyle w:val="APA"/>
        <w:ind w:firstLine="0"/>
        <w:rPr>
          <w:b/>
        </w:rPr>
      </w:pPr>
      <w:r w:rsidRPr="00833AC5">
        <w:rPr>
          <w:b/>
        </w:rPr>
        <w:t>7. Complete the following table using the Web site suggested.</w:t>
      </w:r>
    </w:p>
    <w:tbl>
      <w:tblPr>
        <w:tblStyle w:val="TableGrid"/>
        <w:tblW w:w="0" w:type="auto"/>
        <w:tblLook w:val="04A0" w:firstRow="1" w:lastRow="0" w:firstColumn="1" w:lastColumn="0" w:noHBand="0" w:noVBand="1"/>
      </w:tblPr>
      <w:tblGrid>
        <w:gridCol w:w="4788"/>
        <w:gridCol w:w="4788"/>
      </w:tblGrid>
      <w:tr w:rsidR="00E35970" w:rsidRPr="00833AC5" w14:paraId="20122350" w14:textId="77777777" w:rsidTr="00E35970">
        <w:tc>
          <w:tcPr>
            <w:tcW w:w="4788" w:type="dxa"/>
          </w:tcPr>
          <w:p w14:paraId="3AE4623B" w14:textId="03620494" w:rsidR="00E35970" w:rsidRPr="00833AC5" w:rsidRDefault="00E35970" w:rsidP="00B262F5">
            <w:pPr>
              <w:pStyle w:val="APA"/>
              <w:ind w:firstLine="0"/>
              <w:rPr>
                <w:b/>
              </w:rPr>
            </w:pPr>
            <w:r w:rsidRPr="00833AC5">
              <w:rPr>
                <w:b/>
              </w:rPr>
              <w:t>Cultural Theme</w:t>
            </w:r>
          </w:p>
        </w:tc>
        <w:tc>
          <w:tcPr>
            <w:tcW w:w="4788" w:type="dxa"/>
          </w:tcPr>
          <w:p w14:paraId="66993EFB" w14:textId="625644FB" w:rsidR="00E35970" w:rsidRPr="00833AC5" w:rsidRDefault="00E35970" w:rsidP="00B262F5">
            <w:pPr>
              <w:pStyle w:val="APA"/>
              <w:ind w:firstLine="0"/>
              <w:rPr>
                <w:b/>
              </w:rPr>
            </w:pPr>
            <w:r w:rsidRPr="00833AC5">
              <w:rPr>
                <w:b/>
              </w:rPr>
              <w:t>Description</w:t>
            </w:r>
          </w:p>
        </w:tc>
      </w:tr>
      <w:tr w:rsidR="00E35970" w:rsidRPr="00833AC5" w14:paraId="6D79F454" w14:textId="77777777" w:rsidTr="00E35970">
        <w:tc>
          <w:tcPr>
            <w:tcW w:w="4788" w:type="dxa"/>
          </w:tcPr>
          <w:p w14:paraId="72E17EC3" w14:textId="22A13943" w:rsidR="00E35970" w:rsidRPr="00833AC5" w:rsidRDefault="00E35970" w:rsidP="00B262F5">
            <w:pPr>
              <w:pStyle w:val="APA"/>
              <w:ind w:firstLine="0"/>
              <w:rPr>
                <w:b/>
              </w:rPr>
            </w:pPr>
            <w:proofErr w:type="spellStart"/>
            <w:r w:rsidRPr="00833AC5">
              <w:rPr>
                <w:b/>
              </w:rPr>
              <w:t>Familismo</w:t>
            </w:r>
            <w:proofErr w:type="spellEnd"/>
          </w:p>
        </w:tc>
        <w:tc>
          <w:tcPr>
            <w:tcW w:w="4788" w:type="dxa"/>
          </w:tcPr>
          <w:p w14:paraId="4FC902B7" w14:textId="1F205A55" w:rsidR="00E35970" w:rsidRPr="0060142D" w:rsidRDefault="00CD1ED3" w:rsidP="00B262F5">
            <w:pPr>
              <w:pStyle w:val="APA"/>
              <w:ind w:firstLine="0"/>
            </w:pPr>
            <w:r w:rsidRPr="0060142D">
              <w:t xml:space="preserve">Importance of family at all levels: nuclear, extended, fictive kin. Needs of family take precedence over individual </w:t>
            </w:r>
            <w:proofErr w:type="gramStart"/>
            <w:r w:rsidRPr="0060142D">
              <w:t>needs.</w:t>
            </w:r>
            <w:proofErr w:type="gramEnd"/>
            <w:r w:rsidRPr="0060142D">
              <w:t xml:space="preserve"> Mutual reciprocity</w:t>
            </w:r>
          </w:p>
        </w:tc>
      </w:tr>
      <w:tr w:rsidR="00E35970" w:rsidRPr="00833AC5" w14:paraId="55B8EC93" w14:textId="77777777" w:rsidTr="00E35970">
        <w:tc>
          <w:tcPr>
            <w:tcW w:w="4788" w:type="dxa"/>
          </w:tcPr>
          <w:p w14:paraId="7A9F3026" w14:textId="1E1E7E48" w:rsidR="00E35970" w:rsidRPr="00833AC5" w:rsidRDefault="00E35970" w:rsidP="00B262F5">
            <w:pPr>
              <w:pStyle w:val="APA"/>
              <w:ind w:firstLine="0"/>
              <w:rPr>
                <w:b/>
              </w:rPr>
            </w:pPr>
            <w:proofErr w:type="spellStart"/>
            <w:r w:rsidRPr="00833AC5">
              <w:rPr>
                <w:b/>
              </w:rPr>
              <w:t>Personalismo</w:t>
            </w:r>
            <w:proofErr w:type="spellEnd"/>
          </w:p>
        </w:tc>
        <w:tc>
          <w:tcPr>
            <w:tcW w:w="4788" w:type="dxa"/>
          </w:tcPr>
          <w:p w14:paraId="480728E6" w14:textId="41EBAF3D" w:rsidR="00E35970" w:rsidRPr="0060142D" w:rsidRDefault="00CD1ED3" w:rsidP="00B262F5">
            <w:pPr>
              <w:pStyle w:val="APA"/>
              <w:ind w:firstLine="0"/>
            </w:pPr>
            <w:r w:rsidRPr="0060142D">
              <w:t>Display of mutual respect, trust building</w:t>
            </w:r>
          </w:p>
        </w:tc>
      </w:tr>
      <w:tr w:rsidR="00E35970" w:rsidRPr="00833AC5" w14:paraId="232F967C" w14:textId="77777777" w:rsidTr="00E35970">
        <w:tc>
          <w:tcPr>
            <w:tcW w:w="4788" w:type="dxa"/>
          </w:tcPr>
          <w:p w14:paraId="3258A842" w14:textId="12DF59D0" w:rsidR="00E35970" w:rsidRPr="00833AC5" w:rsidRDefault="00E35970" w:rsidP="00B262F5">
            <w:pPr>
              <w:pStyle w:val="APA"/>
              <w:ind w:firstLine="0"/>
              <w:rPr>
                <w:b/>
              </w:rPr>
            </w:pPr>
            <w:proofErr w:type="spellStart"/>
            <w:r w:rsidRPr="00833AC5">
              <w:rPr>
                <w:b/>
              </w:rPr>
              <w:t>Jerarquismo</w:t>
            </w:r>
            <w:proofErr w:type="spellEnd"/>
          </w:p>
        </w:tc>
        <w:tc>
          <w:tcPr>
            <w:tcW w:w="4788" w:type="dxa"/>
          </w:tcPr>
          <w:p w14:paraId="0E3BB230" w14:textId="2DB2DD97" w:rsidR="00E35970" w:rsidRPr="0060142D" w:rsidRDefault="00CD1ED3" w:rsidP="00B262F5">
            <w:pPr>
              <w:pStyle w:val="APA"/>
              <w:ind w:firstLine="0"/>
            </w:pPr>
            <w:r w:rsidRPr="0060142D">
              <w:t xml:space="preserve">Respect for hierarchy </w:t>
            </w:r>
          </w:p>
        </w:tc>
      </w:tr>
      <w:tr w:rsidR="00E35970" w:rsidRPr="00833AC5" w14:paraId="3DBB7ACD" w14:textId="77777777" w:rsidTr="00E35970">
        <w:tc>
          <w:tcPr>
            <w:tcW w:w="4788" w:type="dxa"/>
          </w:tcPr>
          <w:p w14:paraId="73ACCB9D" w14:textId="1D85493F" w:rsidR="00E35970" w:rsidRPr="00833AC5" w:rsidRDefault="00E35970" w:rsidP="00B262F5">
            <w:pPr>
              <w:pStyle w:val="APA"/>
              <w:ind w:firstLine="0"/>
              <w:rPr>
                <w:b/>
              </w:rPr>
            </w:pPr>
            <w:proofErr w:type="spellStart"/>
            <w:r w:rsidRPr="00833AC5">
              <w:rPr>
                <w:b/>
              </w:rPr>
              <w:t>Presentismo</w:t>
            </w:r>
            <w:proofErr w:type="spellEnd"/>
          </w:p>
        </w:tc>
        <w:tc>
          <w:tcPr>
            <w:tcW w:w="4788" w:type="dxa"/>
          </w:tcPr>
          <w:p w14:paraId="470C4B8F" w14:textId="4D714075" w:rsidR="00E35970" w:rsidRPr="0060142D" w:rsidRDefault="00CD1ED3" w:rsidP="00B262F5">
            <w:pPr>
              <w:pStyle w:val="APA"/>
              <w:ind w:firstLine="0"/>
            </w:pPr>
            <w:r w:rsidRPr="0060142D">
              <w:t>Emphasis on present</w:t>
            </w:r>
          </w:p>
        </w:tc>
      </w:tr>
      <w:tr w:rsidR="00E35970" w:rsidRPr="00833AC5" w14:paraId="0CF08D1B" w14:textId="77777777" w:rsidTr="00E35970">
        <w:tc>
          <w:tcPr>
            <w:tcW w:w="4788" w:type="dxa"/>
          </w:tcPr>
          <w:p w14:paraId="5C62D9BF" w14:textId="1D57B0B5" w:rsidR="00E35970" w:rsidRPr="00833AC5" w:rsidRDefault="00E35970" w:rsidP="00B262F5">
            <w:pPr>
              <w:pStyle w:val="APA"/>
              <w:ind w:firstLine="0"/>
              <w:rPr>
                <w:b/>
              </w:rPr>
            </w:pPr>
            <w:proofErr w:type="spellStart"/>
            <w:r w:rsidRPr="00833AC5">
              <w:rPr>
                <w:b/>
              </w:rPr>
              <w:t>Espiritismo</w:t>
            </w:r>
            <w:proofErr w:type="spellEnd"/>
          </w:p>
        </w:tc>
        <w:tc>
          <w:tcPr>
            <w:tcW w:w="4788" w:type="dxa"/>
          </w:tcPr>
          <w:p w14:paraId="574854F8" w14:textId="04E9D35A" w:rsidR="00E35970" w:rsidRPr="0060142D" w:rsidRDefault="00CD1ED3" w:rsidP="00B262F5">
            <w:pPr>
              <w:pStyle w:val="APA"/>
              <w:ind w:firstLine="0"/>
            </w:pPr>
            <w:r w:rsidRPr="0060142D">
              <w:t xml:space="preserve">Belief that good/evil spirits can affect well </w:t>
            </w:r>
            <w:r w:rsidRPr="0060142D">
              <w:lastRenderedPageBreak/>
              <w:t>being and spirit of the dead person</w:t>
            </w:r>
          </w:p>
        </w:tc>
      </w:tr>
    </w:tbl>
    <w:p w14:paraId="56CBC98E" w14:textId="16C0C16E" w:rsidR="0060142D" w:rsidRPr="0060142D" w:rsidRDefault="0060142D" w:rsidP="0060142D">
      <w:pPr>
        <w:pStyle w:val="APA"/>
        <w:ind w:firstLine="0"/>
      </w:pPr>
      <w:bookmarkStart w:id="19" w:name="C410146735648148I0T410147066087963"/>
      <w:r w:rsidRPr="0060142D">
        <w:lastRenderedPageBreak/>
        <w:t>(</w:t>
      </w:r>
      <w:proofErr w:type="spellStart"/>
      <w:r w:rsidRPr="0060142D">
        <w:t>Talamantes</w:t>
      </w:r>
      <w:proofErr w:type="spellEnd"/>
      <w:r w:rsidRPr="0060142D">
        <w:t xml:space="preserve"> et al., 2001)</w:t>
      </w:r>
      <w:bookmarkEnd w:id="19"/>
    </w:p>
    <w:p w14:paraId="55BCC933" w14:textId="3E7605A9" w:rsidR="00E1677E" w:rsidRDefault="00143F65" w:rsidP="007D7CB6">
      <w:pPr>
        <w:pStyle w:val="APA"/>
        <w:ind w:firstLine="0"/>
      </w:pPr>
      <w:r w:rsidRPr="007D7CB6">
        <w:rPr>
          <w:b/>
        </w:rPr>
        <w:t>8.</w:t>
      </w:r>
      <w:r w:rsidRPr="00F95646">
        <w:t xml:space="preserve"> </w:t>
      </w:r>
      <w:r w:rsidRPr="00C3340C">
        <w:rPr>
          <w:b/>
        </w:rPr>
        <w:t xml:space="preserve">What role does a </w:t>
      </w:r>
      <w:proofErr w:type="spellStart"/>
      <w:r w:rsidRPr="00C3340C">
        <w:rPr>
          <w:b/>
        </w:rPr>
        <w:t>Curandero</w:t>
      </w:r>
      <w:proofErr w:type="spellEnd"/>
      <w:r w:rsidRPr="00C3340C">
        <w:rPr>
          <w:b/>
        </w:rPr>
        <w:t xml:space="preserve"> serve in the Hispanic culture? Provide at least two herbs commonly used for depression as a complementary health measure.</w:t>
      </w:r>
      <w:r w:rsidRPr="00F95646">
        <w:t xml:space="preserve"> </w:t>
      </w:r>
    </w:p>
    <w:p w14:paraId="233A3985" w14:textId="59F2F765" w:rsidR="00F95871" w:rsidRDefault="0079478D" w:rsidP="00F95871">
      <w:pPr>
        <w:pStyle w:val="APA"/>
      </w:pPr>
      <w:r>
        <w:tab/>
        <w:t>A Curandero is a practitioner of Mexican folk healing who prescribes alternatives to conventional pharmacologic and biomedical therapies.</w:t>
      </w:r>
      <w:r w:rsidR="0048403B">
        <w:t xml:space="preserve">  </w:t>
      </w:r>
      <w:r w:rsidR="00794D69">
        <w:t>These alternatives rely on religion, herbs, and home remedies</w:t>
      </w:r>
      <w:r w:rsidR="00F95871">
        <w:t xml:space="preserve"> </w:t>
      </w:r>
      <w:bookmarkStart w:id="20" w:name="C410146735648148I0T410147279629630"/>
      <w:r w:rsidR="00F95871">
        <w:t>(</w:t>
      </w:r>
      <w:proofErr w:type="spellStart"/>
      <w:r w:rsidR="00F95871">
        <w:t>Talamantes</w:t>
      </w:r>
      <w:proofErr w:type="spellEnd"/>
      <w:r w:rsidR="00F95871">
        <w:t xml:space="preserve"> et al., 2001)</w:t>
      </w:r>
      <w:bookmarkEnd w:id="20"/>
      <w:r w:rsidR="00794D69">
        <w:t>.</w:t>
      </w:r>
      <w:r w:rsidR="00F95871">
        <w:t xml:space="preserve">  Herbs commonly used to treat</w:t>
      </w:r>
      <w:r w:rsidR="00E3366E">
        <w:t xml:space="preserve"> depression include St. John’s </w:t>
      </w:r>
      <w:proofErr w:type="spellStart"/>
      <w:r w:rsidR="00E3366E">
        <w:t>wort</w:t>
      </w:r>
      <w:proofErr w:type="spellEnd"/>
      <w:r w:rsidR="00E3366E">
        <w:t xml:space="preserve">, kava </w:t>
      </w:r>
      <w:proofErr w:type="spellStart"/>
      <w:r w:rsidR="00E3366E">
        <w:t>kava</w:t>
      </w:r>
      <w:proofErr w:type="spellEnd"/>
      <w:r w:rsidR="00E3366E">
        <w:t xml:space="preserve">, ginkgo </w:t>
      </w:r>
      <w:proofErr w:type="spellStart"/>
      <w:r w:rsidR="00E3366E">
        <w:t>biloba</w:t>
      </w:r>
      <w:proofErr w:type="spellEnd"/>
      <w:r w:rsidR="00E3366E">
        <w:t>, and l</w:t>
      </w:r>
      <w:r w:rsidR="00F95871">
        <w:t xml:space="preserve">avender </w:t>
      </w:r>
      <w:bookmarkStart w:id="21" w:name="C410147304861111I0T410147320601852"/>
      <w:r w:rsidR="00F95871">
        <w:t>(</w:t>
      </w:r>
      <w:proofErr w:type="spellStart"/>
      <w:r w:rsidR="00F95871">
        <w:t>Venokur</w:t>
      </w:r>
      <w:proofErr w:type="spellEnd"/>
      <w:r w:rsidR="00F95871">
        <w:t>-Clark, 2010)</w:t>
      </w:r>
      <w:bookmarkEnd w:id="21"/>
      <w:r w:rsidR="00F95871">
        <w:t xml:space="preserve">.  </w:t>
      </w:r>
      <w:r w:rsidR="00794D69">
        <w:t xml:space="preserve"> </w:t>
      </w:r>
      <w:r>
        <w:t xml:space="preserve">   </w:t>
      </w:r>
    </w:p>
    <w:p w14:paraId="4E0305C3" w14:textId="77777777" w:rsidR="00F95871" w:rsidRDefault="00F95871">
      <w:pPr>
        <w:overflowPunct/>
        <w:autoSpaceDE/>
        <w:autoSpaceDN/>
        <w:adjustRightInd/>
        <w:textAlignment w:val="auto"/>
        <w:rPr>
          <w:sz w:val="24"/>
        </w:rPr>
      </w:pPr>
      <w:r>
        <w:br w:type="page"/>
      </w:r>
    </w:p>
    <w:p w14:paraId="1292B79E" w14:textId="6CEC4A3C" w:rsidR="00F95871" w:rsidRDefault="00F95871" w:rsidP="00F95871">
      <w:pPr>
        <w:pStyle w:val="APAHeadingCenter"/>
      </w:pPr>
      <w:r>
        <w:lastRenderedPageBreak/>
        <w:t>References</w:t>
      </w:r>
    </w:p>
    <w:p w14:paraId="3FE8DCA1" w14:textId="2EB18F89" w:rsidR="00F95871" w:rsidRDefault="00F95871" w:rsidP="00F95871">
      <w:pPr>
        <w:pStyle w:val="APAReference"/>
      </w:pPr>
      <w:bookmarkStart w:id="22" w:name="R410147074768519I0"/>
      <w:r>
        <w:t xml:space="preserve">Kaiser Family Foundation. (Cartographer). </w:t>
      </w:r>
      <w:proofErr w:type="gramStart"/>
      <w:r>
        <w:t xml:space="preserve">(2010). </w:t>
      </w:r>
      <w:r w:rsidRPr="00DC6E8B">
        <w:rPr>
          <w:i/>
          <w:color w:val="FF0000"/>
        </w:rPr>
        <w:t>Distribution of U.S. population by race/ethnicity, 2010 and 2050 [Population Graph].</w:t>
      </w:r>
      <w:proofErr w:type="gramEnd"/>
      <w:r w:rsidRPr="00DC6E8B">
        <w:rPr>
          <w:color w:val="FF0000"/>
        </w:rPr>
        <w:t xml:space="preserve"> </w:t>
      </w:r>
      <w:r>
        <w:t>Retrieved from http://facts.kff.org/chart.aspx?ch=364</w:t>
      </w:r>
      <w:bookmarkEnd w:id="22"/>
    </w:p>
    <w:p w14:paraId="6CDC5641" w14:textId="1FBB40F5" w:rsidR="00F95871" w:rsidRDefault="00F95871" w:rsidP="00F95871">
      <w:pPr>
        <w:pStyle w:val="APAReference"/>
      </w:pPr>
      <w:bookmarkStart w:id="23" w:name="R410145645486111I0"/>
      <w:proofErr w:type="gramStart"/>
      <w:r>
        <w:t>McBride, M. (</w:t>
      </w:r>
      <w:proofErr w:type="spellStart"/>
      <w:r>
        <w:t>n.d</w:t>
      </w:r>
      <w:r w:rsidRPr="00DC6E8B">
        <w:rPr>
          <w:i/>
          <w:color w:val="FF0000"/>
        </w:rPr>
        <w:t>.</w:t>
      </w:r>
      <w:proofErr w:type="spellEnd"/>
      <w:r w:rsidRPr="00DC6E8B">
        <w:rPr>
          <w:i/>
          <w:color w:val="FF0000"/>
        </w:rPr>
        <w:t>).</w:t>
      </w:r>
      <w:proofErr w:type="gramEnd"/>
      <w:r w:rsidRPr="00DC6E8B">
        <w:rPr>
          <w:i/>
          <w:color w:val="FF0000"/>
        </w:rPr>
        <w:t xml:space="preserve"> </w:t>
      </w:r>
      <w:proofErr w:type="spellStart"/>
      <w:proofErr w:type="gramStart"/>
      <w:r w:rsidRPr="00DC6E8B">
        <w:rPr>
          <w:i/>
          <w:color w:val="FF0000"/>
        </w:rPr>
        <w:t>Ethnogeriatrics</w:t>
      </w:r>
      <w:proofErr w:type="spellEnd"/>
      <w:r w:rsidRPr="00DC6E8B">
        <w:rPr>
          <w:i/>
          <w:color w:val="FF0000"/>
        </w:rPr>
        <w:t xml:space="preserve"> and cultural competence for nursing practice.</w:t>
      </w:r>
      <w:proofErr w:type="gramEnd"/>
      <w:r w:rsidRPr="00DC6E8B">
        <w:rPr>
          <w:color w:val="FF0000"/>
        </w:rPr>
        <w:t xml:space="preserve"> </w:t>
      </w:r>
      <w:r>
        <w:t>Retrieved from http://consultgerirn.org/topics/ethnogeriatrics_and_cultural_competence_for_nursing_practice/want_to_know_more</w:t>
      </w:r>
      <w:bookmarkEnd w:id="23"/>
    </w:p>
    <w:p w14:paraId="6DB7A71B" w14:textId="4A4A9971" w:rsidR="00F95871" w:rsidRDefault="00F95871" w:rsidP="00F95871">
      <w:pPr>
        <w:pStyle w:val="APAReference"/>
      </w:pPr>
      <w:bookmarkStart w:id="24" w:name="R410146735648148I0"/>
      <w:proofErr w:type="spellStart"/>
      <w:proofErr w:type="gramStart"/>
      <w:r>
        <w:t>Talamantes</w:t>
      </w:r>
      <w:proofErr w:type="spellEnd"/>
      <w:r>
        <w:t>, M., Lindeman, R., &amp; Mouton, C. (2001</w:t>
      </w:r>
      <w:r w:rsidRPr="00DC6E8B">
        <w:rPr>
          <w:i/>
          <w:color w:val="FF0000"/>
        </w:rPr>
        <w:t>).</w:t>
      </w:r>
      <w:proofErr w:type="gramEnd"/>
      <w:r w:rsidRPr="00DC6E8B">
        <w:rPr>
          <w:i/>
          <w:color w:val="FF0000"/>
        </w:rPr>
        <w:t xml:space="preserve"> Health and health care of Hispanic/Latino American elders</w:t>
      </w:r>
      <w:r>
        <w:t>. Retrieved from http://www.stanford.edu/group/ethnoger/index.html</w:t>
      </w:r>
      <w:bookmarkEnd w:id="24"/>
    </w:p>
    <w:p w14:paraId="2AED6EC0" w14:textId="3583AA4A" w:rsidR="00F95871" w:rsidRDefault="00F95871" w:rsidP="00F95871">
      <w:pPr>
        <w:pStyle w:val="APAReference"/>
      </w:pPr>
      <w:bookmarkStart w:id="25" w:name="R410147304861111I0"/>
      <w:proofErr w:type="spellStart"/>
      <w:r>
        <w:t>Venokur</w:t>
      </w:r>
      <w:proofErr w:type="spellEnd"/>
      <w:r>
        <w:t xml:space="preserve">-Clark, R. (2010). </w:t>
      </w:r>
      <w:r w:rsidRPr="00DC6E8B">
        <w:rPr>
          <w:i/>
          <w:color w:val="FF0000"/>
        </w:rPr>
        <w:t>Herbs used for depression</w:t>
      </w:r>
      <w:r>
        <w:t xml:space="preserve">. </w:t>
      </w:r>
      <w:commentRangeStart w:id="26"/>
      <w:r>
        <w:t>Retrieved April 12, 2012</w:t>
      </w:r>
      <w:commentRangeEnd w:id="26"/>
      <w:r w:rsidR="00DC6E8B">
        <w:rPr>
          <w:rStyle w:val="CommentReference"/>
        </w:rPr>
        <w:commentReference w:id="26"/>
      </w:r>
      <w:r>
        <w:t>, from http://www.livestrong.com/article/262531-herbs-used-for-depression/</w:t>
      </w:r>
      <w:bookmarkEnd w:id="25"/>
    </w:p>
    <w:p w14:paraId="1728AED4" w14:textId="6493F6AB" w:rsidR="00F95871" w:rsidRPr="00F95871" w:rsidRDefault="00F95871" w:rsidP="00F95871">
      <w:pPr>
        <w:pStyle w:val="APAReference"/>
      </w:pPr>
      <w:bookmarkStart w:id="27" w:name="R410146645023148I0"/>
      <w:r>
        <w:t xml:space="preserve">rbixby2. (2009, August 4). </w:t>
      </w:r>
      <w:proofErr w:type="gramStart"/>
      <w:r>
        <w:rPr>
          <w:i/>
        </w:rPr>
        <w:t>Cultural competence for healthcare providers</w:t>
      </w:r>
      <w:r>
        <w:t xml:space="preserve"> [Video file].</w:t>
      </w:r>
      <w:proofErr w:type="gramEnd"/>
      <w:r>
        <w:t xml:space="preserve"> Retrieved from http://www.youtube.com/watch?v=dNLtAj0wy6I</w:t>
      </w:r>
      <w:bookmarkEnd w:id="27"/>
    </w:p>
    <w:p w14:paraId="0B650B7A" w14:textId="3FBAB362" w:rsidR="00E1677E" w:rsidRDefault="00E1677E" w:rsidP="00E1677E">
      <w:pPr>
        <w:pStyle w:val="APAHeadingCenter"/>
      </w:pPr>
    </w:p>
    <w:sectPr w:rsidR="00E1677E" w:rsidSect="005B1930">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MEdwards" w:date="2012-04-18T15:53:00Z" w:initials="M">
    <w:p w14:paraId="633A7557" w14:textId="1EC5BEB7" w:rsidR="00DC6E8B" w:rsidRDefault="00DC6E8B">
      <w:pPr>
        <w:pStyle w:val="CommentText"/>
      </w:pPr>
      <w:r>
        <w:rPr>
          <w:rStyle w:val="CommentReference"/>
        </w:rPr>
        <w:annotationRef/>
      </w:r>
      <w:r>
        <w:t>No longer use retrieval dates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9BC34" w14:textId="77777777" w:rsidR="00F95871" w:rsidRDefault="00F95871">
      <w:r>
        <w:separator/>
      </w:r>
    </w:p>
  </w:endnote>
  <w:endnote w:type="continuationSeparator" w:id="0">
    <w:p w14:paraId="56F876B9" w14:textId="77777777" w:rsidR="00F95871" w:rsidRDefault="00F9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9FA55" w14:textId="77777777" w:rsidR="00F95871" w:rsidRDefault="00F95871">
      <w:r>
        <w:separator/>
      </w:r>
    </w:p>
  </w:footnote>
  <w:footnote w:type="continuationSeparator" w:id="0">
    <w:p w14:paraId="4783606A" w14:textId="77777777" w:rsidR="00F95871" w:rsidRDefault="00F95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98EE" w14:textId="77777777" w:rsidR="00F95871" w:rsidRPr="005B1930" w:rsidRDefault="00F95871" w:rsidP="005B1930">
    <w:pPr>
      <w:pStyle w:val="APAPageHeading"/>
    </w:pPr>
    <w:r>
      <w:t>CULTURALLY SPECIFIC CARE</w:t>
    </w:r>
    <w:r>
      <w:tab/>
    </w:r>
    <w:r>
      <w:fldChar w:fldCharType="begin"/>
    </w:r>
    <w:r>
      <w:instrText xml:space="preserve"> PAGE  \* MERGEFORMAT </w:instrText>
    </w:r>
    <w:r>
      <w:fldChar w:fldCharType="separate"/>
    </w:r>
    <w:r w:rsidR="00DC6E8B">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C54ED" w14:textId="77777777" w:rsidR="00F95871" w:rsidRPr="005B1930" w:rsidRDefault="00F95871" w:rsidP="005B1930">
    <w:pPr>
      <w:pStyle w:val="APAPageHeading"/>
    </w:pPr>
    <w:r>
      <w:t>Running head: CULTURALLY SPECIFIC CARE</w:t>
    </w:r>
    <w:r>
      <w:tab/>
    </w:r>
    <w:r>
      <w:fldChar w:fldCharType="begin"/>
    </w:r>
    <w:r>
      <w:instrText xml:space="preserve"> PAGE  \* MERGEFORMAT </w:instrText>
    </w:r>
    <w:r>
      <w:fldChar w:fldCharType="separate"/>
    </w:r>
    <w:r w:rsidR="00DC6E8B">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429AD" w14:textId="77777777" w:rsidR="00F95871" w:rsidRPr="005B1930" w:rsidRDefault="00F95871" w:rsidP="005B1930">
    <w:pPr>
      <w:pStyle w:val="APAPageHeading"/>
    </w:pPr>
    <w:r>
      <w:t>CULTURALLY SPECIFIC CARE</w:t>
    </w:r>
    <w:r>
      <w:tab/>
    </w:r>
    <w:r>
      <w:fldChar w:fldCharType="begin"/>
    </w:r>
    <w:r>
      <w:instrText xml:space="preserve"> PAGE  \* MERGEFORMAT </w:instrText>
    </w:r>
    <w:r>
      <w:fldChar w:fldCharType="separate"/>
    </w:r>
    <w:r w:rsidR="00DC6E8B">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0145645486111I0" w:val="*1,262˜11Melen~~McBride~˜1203n.d.˜13Ethnogeriatrics and cultural competence for nursing practice˜2701˜1112˜112http://consultgerirn.org/topics/ethnogeriatrics_and_cultural_competence_for_nursing_practice/want_to_know_more˜"/>
    <w:docVar w:name="410146645023148I0" w:val="*1,975˜1125rbixby2˜12402009˜1230August 4˜1610Cultural competence for healthcare providers˜1231http://www.youtube.com/watch?v=dNLtAj0wy6I˜"/>
    <w:docVar w:name="410146735648148I0" w:val="*1,262˜11Melissa~~Talamantes~Robert~~Lindeman~Charles~~Mouton~˜12032001˜13Health and health care of Hispanic/Latino American elders˜2701˜1112˜112http://www.stanford.edu/group/ethnoger/index.html˜"/>
    <w:docVar w:name="410147074768519I0" w:val="*1,558˜21741˜1114Kaiser Family Foundation˜1233KFF˜1420˜12032010˜151Distribution of U.S. population by race/ethnicity, 2010 and 2050˜1422Population Graph˜21950˜2289˜15˜110˜111˜112http://facts.kff.org/chart.aspx?ch=364˜"/>
    <w:docVar w:name="410147304861111I0" w:val="*1,262˜11Rachel~~Venokur-Clark~˜12032010˜13Herbs used for depression˜2700˜1112April 12, 2012˜112http://www.livestrong.com/article/262531-herbs-used-for-depression/˜"/>
    <w:docVar w:name="bmHeaderInfo" w:val="CULTURALLY SPECIFIC CARE"/>
    <w:docVar w:name="cIsAbstract" w:val="False"/>
    <w:docVar w:name="cPaperAPAOrMLA" w:val="1"/>
    <w:docVar w:name="cUniquePaperID" w:val="410128323495370I0"/>
    <w:docVar w:name="LastEditedVersion" w:val="5"/>
  </w:docVars>
  <w:rsids>
    <w:rsidRoot w:val="005B1930"/>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11B6"/>
    <w:rsid w:val="000428F1"/>
    <w:rsid w:val="00042C2E"/>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754"/>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392E"/>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5FAB"/>
    <w:rsid w:val="00116ADB"/>
    <w:rsid w:val="001170F1"/>
    <w:rsid w:val="001175BB"/>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3F65"/>
    <w:rsid w:val="001451FA"/>
    <w:rsid w:val="001456FD"/>
    <w:rsid w:val="00145CAA"/>
    <w:rsid w:val="00147599"/>
    <w:rsid w:val="00147C02"/>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53E"/>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00B"/>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0BF4"/>
    <w:rsid w:val="00262C8E"/>
    <w:rsid w:val="00264076"/>
    <w:rsid w:val="0026641D"/>
    <w:rsid w:val="00266BE9"/>
    <w:rsid w:val="00266C6A"/>
    <w:rsid w:val="00267C1E"/>
    <w:rsid w:val="00267C71"/>
    <w:rsid w:val="0027050C"/>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20AE"/>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056B"/>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1EB"/>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0BF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777AD"/>
    <w:rsid w:val="0037785B"/>
    <w:rsid w:val="0038146A"/>
    <w:rsid w:val="003850A4"/>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121F"/>
    <w:rsid w:val="00443D91"/>
    <w:rsid w:val="00444BD7"/>
    <w:rsid w:val="004456CC"/>
    <w:rsid w:val="00446BE4"/>
    <w:rsid w:val="0044745A"/>
    <w:rsid w:val="00450181"/>
    <w:rsid w:val="0045042B"/>
    <w:rsid w:val="0045139A"/>
    <w:rsid w:val="00451626"/>
    <w:rsid w:val="00451E56"/>
    <w:rsid w:val="00452ED2"/>
    <w:rsid w:val="0045329A"/>
    <w:rsid w:val="00454672"/>
    <w:rsid w:val="0045719E"/>
    <w:rsid w:val="004614B1"/>
    <w:rsid w:val="0046282B"/>
    <w:rsid w:val="004635B0"/>
    <w:rsid w:val="00466A26"/>
    <w:rsid w:val="00467BB2"/>
    <w:rsid w:val="0047130D"/>
    <w:rsid w:val="00471E6D"/>
    <w:rsid w:val="0047205B"/>
    <w:rsid w:val="004728E1"/>
    <w:rsid w:val="00475151"/>
    <w:rsid w:val="00476096"/>
    <w:rsid w:val="00480D65"/>
    <w:rsid w:val="00480F4F"/>
    <w:rsid w:val="00483918"/>
    <w:rsid w:val="0048403B"/>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18F6"/>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06A4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05A2"/>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3C88"/>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1930"/>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42D"/>
    <w:rsid w:val="00601679"/>
    <w:rsid w:val="00604740"/>
    <w:rsid w:val="0060603A"/>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4811"/>
    <w:rsid w:val="00676629"/>
    <w:rsid w:val="00676C04"/>
    <w:rsid w:val="00677EF2"/>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463"/>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0EF9"/>
    <w:rsid w:val="00752C28"/>
    <w:rsid w:val="0075425B"/>
    <w:rsid w:val="007553B0"/>
    <w:rsid w:val="00755A12"/>
    <w:rsid w:val="00755DEC"/>
    <w:rsid w:val="007563CF"/>
    <w:rsid w:val="0075678B"/>
    <w:rsid w:val="00762A66"/>
    <w:rsid w:val="0076359E"/>
    <w:rsid w:val="0076418E"/>
    <w:rsid w:val="00764406"/>
    <w:rsid w:val="00764AB6"/>
    <w:rsid w:val="0076653E"/>
    <w:rsid w:val="007672CA"/>
    <w:rsid w:val="00767A93"/>
    <w:rsid w:val="00767BF0"/>
    <w:rsid w:val="007700FE"/>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478D"/>
    <w:rsid w:val="00794D69"/>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D7CB6"/>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330"/>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3AC5"/>
    <w:rsid w:val="00834A73"/>
    <w:rsid w:val="0083624F"/>
    <w:rsid w:val="00840B54"/>
    <w:rsid w:val="00842E4E"/>
    <w:rsid w:val="00842ED3"/>
    <w:rsid w:val="00844392"/>
    <w:rsid w:val="008447B1"/>
    <w:rsid w:val="00844D2F"/>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943"/>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B11"/>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5254"/>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0B94"/>
    <w:rsid w:val="00941A20"/>
    <w:rsid w:val="009422CB"/>
    <w:rsid w:val="00942668"/>
    <w:rsid w:val="009430EA"/>
    <w:rsid w:val="00943CA2"/>
    <w:rsid w:val="00944300"/>
    <w:rsid w:val="0094500E"/>
    <w:rsid w:val="00945322"/>
    <w:rsid w:val="0094658A"/>
    <w:rsid w:val="00950C9D"/>
    <w:rsid w:val="00951A77"/>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062"/>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6474"/>
    <w:rsid w:val="009E71E8"/>
    <w:rsid w:val="009F284D"/>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042B"/>
    <w:rsid w:val="00A324B4"/>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62F5"/>
    <w:rsid w:val="00B27413"/>
    <w:rsid w:val="00B3156C"/>
    <w:rsid w:val="00B3357B"/>
    <w:rsid w:val="00B34B6C"/>
    <w:rsid w:val="00B37BEA"/>
    <w:rsid w:val="00B409AC"/>
    <w:rsid w:val="00B41AED"/>
    <w:rsid w:val="00B42FDA"/>
    <w:rsid w:val="00B43BD8"/>
    <w:rsid w:val="00B46094"/>
    <w:rsid w:val="00B50C4B"/>
    <w:rsid w:val="00B5186D"/>
    <w:rsid w:val="00B52CEA"/>
    <w:rsid w:val="00B5444C"/>
    <w:rsid w:val="00B55C8B"/>
    <w:rsid w:val="00B5715E"/>
    <w:rsid w:val="00B5735D"/>
    <w:rsid w:val="00B61AC2"/>
    <w:rsid w:val="00B61F5F"/>
    <w:rsid w:val="00B62B4A"/>
    <w:rsid w:val="00B6348B"/>
    <w:rsid w:val="00B63935"/>
    <w:rsid w:val="00B654AD"/>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154C"/>
    <w:rsid w:val="00BA2ACC"/>
    <w:rsid w:val="00BA7E04"/>
    <w:rsid w:val="00BA7ECA"/>
    <w:rsid w:val="00BB2729"/>
    <w:rsid w:val="00BB30CC"/>
    <w:rsid w:val="00BB4E3B"/>
    <w:rsid w:val="00BB6233"/>
    <w:rsid w:val="00BB72D6"/>
    <w:rsid w:val="00BB7518"/>
    <w:rsid w:val="00BB7E30"/>
    <w:rsid w:val="00BC13E7"/>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40C"/>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4D3E"/>
    <w:rsid w:val="00C75352"/>
    <w:rsid w:val="00C77496"/>
    <w:rsid w:val="00C80ACF"/>
    <w:rsid w:val="00C80CF7"/>
    <w:rsid w:val="00C81034"/>
    <w:rsid w:val="00C813E5"/>
    <w:rsid w:val="00C81A26"/>
    <w:rsid w:val="00C82755"/>
    <w:rsid w:val="00C831CB"/>
    <w:rsid w:val="00C86DE9"/>
    <w:rsid w:val="00C919F1"/>
    <w:rsid w:val="00C92393"/>
    <w:rsid w:val="00C92436"/>
    <w:rsid w:val="00C94CF8"/>
    <w:rsid w:val="00C955B0"/>
    <w:rsid w:val="00C95C62"/>
    <w:rsid w:val="00CA0101"/>
    <w:rsid w:val="00CA0B56"/>
    <w:rsid w:val="00CA1974"/>
    <w:rsid w:val="00CA1B8E"/>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5BC6"/>
    <w:rsid w:val="00CC700E"/>
    <w:rsid w:val="00CC773F"/>
    <w:rsid w:val="00CD0001"/>
    <w:rsid w:val="00CD0B2F"/>
    <w:rsid w:val="00CD1ED3"/>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1F9E"/>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28B6"/>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C9A"/>
    <w:rsid w:val="00D76E0F"/>
    <w:rsid w:val="00D81237"/>
    <w:rsid w:val="00D83BDB"/>
    <w:rsid w:val="00D9108C"/>
    <w:rsid w:val="00D9195C"/>
    <w:rsid w:val="00D957BA"/>
    <w:rsid w:val="00D967A3"/>
    <w:rsid w:val="00D96E15"/>
    <w:rsid w:val="00DA26BF"/>
    <w:rsid w:val="00DA2C59"/>
    <w:rsid w:val="00DA3BC3"/>
    <w:rsid w:val="00DA49E0"/>
    <w:rsid w:val="00DA5739"/>
    <w:rsid w:val="00DB4050"/>
    <w:rsid w:val="00DB7D85"/>
    <w:rsid w:val="00DC0841"/>
    <w:rsid w:val="00DC2934"/>
    <w:rsid w:val="00DC2B16"/>
    <w:rsid w:val="00DC327D"/>
    <w:rsid w:val="00DC3C6C"/>
    <w:rsid w:val="00DC5A00"/>
    <w:rsid w:val="00DC5AD4"/>
    <w:rsid w:val="00DC6E8B"/>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6BB"/>
    <w:rsid w:val="00E148D4"/>
    <w:rsid w:val="00E14E11"/>
    <w:rsid w:val="00E162A6"/>
    <w:rsid w:val="00E1677E"/>
    <w:rsid w:val="00E16D7E"/>
    <w:rsid w:val="00E174D9"/>
    <w:rsid w:val="00E227F7"/>
    <w:rsid w:val="00E2370B"/>
    <w:rsid w:val="00E261BC"/>
    <w:rsid w:val="00E30C3D"/>
    <w:rsid w:val="00E31574"/>
    <w:rsid w:val="00E32449"/>
    <w:rsid w:val="00E32D33"/>
    <w:rsid w:val="00E3342B"/>
    <w:rsid w:val="00E3366E"/>
    <w:rsid w:val="00E34442"/>
    <w:rsid w:val="00E345E0"/>
    <w:rsid w:val="00E35198"/>
    <w:rsid w:val="00E35970"/>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462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2F23"/>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EF7BDF"/>
    <w:rsid w:val="00F0070D"/>
    <w:rsid w:val="00F00E41"/>
    <w:rsid w:val="00F00F93"/>
    <w:rsid w:val="00F0335A"/>
    <w:rsid w:val="00F03DB7"/>
    <w:rsid w:val="00F04F55"/>
    <w:rsid w:val="00F05C9B"/>
    <w:rsid w:val="00F05DFB"/>
    <w:rsid w:val="00F06D3C"/>
    <w:rsid w:val="00F07395"/>
    <w:rsid w:val="00F07DE6"/>
    <w:rsid w:val="00F101B7"/>
    <w:rsid w:val="00F1275B"/>
    <w:rsid w:val="00F12C44"/>
    <w:rsid w:val="00F12CE2"/>
    <w:rsid w:val="00F1303A"/>
    <w:rsid w:val="00F16647"/>
    <w:rsid w:val="00F1793D"/>
    <w:rsid w:val="00F21ECE"/>
    <w:rsid w:val="00F223C4"/>
    <w:rsid w:val="00F22451"/>
    <w:rsid w:val="00F23324"/>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4DB6"/>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494"/>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5646"/>
    <w:rsid w:val="00F95871"/>
    <w:rsid w:val="00F96C2B"/>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4D1"/>
    <w:rsid w:val="00FB7F23"/>
    <w:rsid w:val="00FC217F"/>
    <w:rsid w:val="00FC2F47"/>
    <w:rsid w:val="00FC34B8"/>
    <w:rsid w:val="00FC3777"/>
    <w:rsid w:val="00FC5375"/>
    <w:rsid w:val="00FC57B1"/>
    <w:rsid w:val="00FC6907"/>
    <w:rsid w:val="00FD3A9E"/>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B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table" w:styleId="TableGrid">
    <w:name w:val="Table Grid"/>
    <w:basedOn w:val="TableNormal"/>
    <w:rsid w:val="00FB7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C6E8B"/>
    <w:rPr>
      <w:sz w:val="16"/>
      <w:szCs w:val="16"/>
    </w:rPr>
  </w:style>
  <w:style w:type="paragraph" w:styleId="CommentText">
    <w:name w:val="annotation text"/>
    <w:basedOn w:val="Normal"/>
    <w:link w:val="CommentTextChar"/>
    <w:rsid w:val="00DC6E8B"/>
  </w:style>
  <w:style w:type="character" w:customStyle="1" w:styleId="CommentTextChar">
    <w:name w:val="Comment Text Char"/>
    <w:basedOn w:val="DefaultParagraphFont"/>
    <w:link w:val="CommentText"/>
    <w:rsid w:val="00DC6E8B"/>
  </w:style>
  <w:style w:type="paragraph" w:styleId="CommentSubject">
    <w:name w:val="annotation subject"/>
    <w:basedOn w:val="CommentText"/>
    <w:next w:val="CommentText"/>
    <w:link w:val="CommentSubjectChar"/>
    <w:rsid w:val="00DC6E8B"/>
    <w:rPr>
      <w:b/>
      <w:bCs/>
    </w:rPr>
  </w:style>
  <w:style w:type="character" w:customStyle="1" w:styleId="CommentSubjectChar">
    <w:name w:val="Comment Subject Char"/>
    <w:basedOn w:val="CommentTextChar"/>
    <w:link w:val="CommentSubject"/>
    <w:rsid w:val="00DC6E8B"/>
    <w:rPr>
      <w:b/>
      <w:bCs/>
    </w:rPr>
  </w:style>
  <w:style w:type="paragraph" w:styleId="BalloonText">
    <w:name w:val="Balloon Text"/>
    <w:basedOn w:val="Normal"/>
    <w:link w:val="BalloonTextChar"/>
    <w:rsid w:val="00DC6E8B"/>
    <w:rPr>
      <w:rFonts w:ascii="Tahoma" w:hAnsi="Tahoma" w:cs="Tahoma"/>
      <w:sz w:val="16"/>
      <w:szCs w:val="16"/>
    </w:rPr>
  </w:style>
  <w:style w:type="character" w:customStyle="1" w:styleId="BalloonTextChar">
    <w:name w:val="Balloon Text Char"/>
    <w:basedOn w:val="DefaultParagraphFont"/>
    <w:link w:val="BalloonText"/>
    <w:rsid w:val="00DC6E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table" w:styleId="TableGrid">
    <w:name w:val="Table Grid"/>
    <w:basedOn w:val="TableNormal"/>
    <w:rsid w:val="00FB7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C6E8B"/>
    <w:rPr>
      <w:sz w:val="16"/>
      <w:szCs w:val="16"/>
    </w:rPr>
  </w:style>
  <w:style w:type="paragraph" w:styleId="CommentText">
    <w:name w:val="annotation text"/>
    <w:basedOn w:val="Normal"/>
    <w:link w:val="CommentTextChar"/>
    <w:rsid w:val="00DC6E8B"/>
  </w:style>
  <w:style w:type="character" w:customStyle="1" w:styleId="CommentTextChar">
    <w:name w:val="Comment Text Char"/>
    <w:basedOn w:val="DefaultParagraphFont"/>
    <w:link w:val="CommentText"/>
    <w:rsid w:val="00DC6E8B"/>
  </w:style>
  <w:style w:type="paragraph" w:styleId="CommentSubject">
    <w:name w:val="annotation subject"/>
    <w:basedOn w:val="CommentText"/>
    <w:next w:val="CommentText"/>
    <w:link w:val="CommentSubjectChar"/>
    <w:rsid w:val="00DC6E8B"/>
    <w:rPr>
      <w:b/>
      <w:bCs/>
    </w:rPr>
  </w:style>
  <w:style w:type="character" w:customStyle="1" w:styleId="CommentSubjectChar">
    <w:name w:val="Comment Subject Char"/>
    <w:basedOn w:val="CommentTextChar"/>
    <w:link w:val="CommentSubject"/>
    <w:rsid w:val="00DC6E8B"/>
    <w:rPr>
      <w:b/>
      <w:bCs/>
    </w:rPr>
  </w:style>
  <w:style w:type="paragraph" w:styleId="BalloonText">
    <w:name w:val="Balloon Text"/>
    <w:basedOn w:val="Normal"/>
    <w:link w:val="BalloonTextChar"/>
    <w:rsid w:val="00DC6E8B"/>
    <w:rPr>
      <w:rFonts w:ascii="Tahoma" w:hAnsi="Tahoma" w:cs="Tahoma"/>
      <w:sz w:val="16"/>
      <w:szCs w:val="16"/>
    </w:rPr>
  </w:style>
  <w:style w:type="character" w:customStyle="1" w:styleId="BalloonTextChar">
    <w:name w:val="Balloon Text Char"/>
    <w:basedOn w:val="DefaultParagraphFont"/>
    <w:link w:val="BalloonText"/>
    <w:rsid w:val="00DC6E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D87D6-2FAB-472C-8293-9B973A5B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1345</Words>
  <Characters>7884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9211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Sydney Bailey</dc:creator>
  <cp:lastModifiedBy>MEdwards</cp:lastModifiedBy>
  <cp:revision>2</cp:revision>
  <dcterms:created xsi:type="dcterms:W3CDTF">2012-04-18T20:55:00Z</dcterms:created>
  <dcterms:modified xsi:type="dcterms:W3CDTF">2012-04-18T20:55:00Z</dcterms:modified>
</cp:coreProperties>
</file>