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EE0810">
      <w:pPr>
        <w:pStyle w:val="APA"/>
      </w:pPr>
    </w:p>
    <w:p w:rsidR="00EE0810" w:rsidRDefault="00EE0810" w:rsidP="00EE0810">
      <w:pPr>
        <w:pStyle w:val="APA"/>
      </w:pPr>
    </w:p>
    <w:p w:rsidR="00EE0810" w:rsidRDefault="00EE0810" w:rsidP="00EE0810">
      <w:pPr>
        <w:pStyle w:val="APA"/>
      </w:pPr>
    </w:p>
    <w:p w:rsidR="00EE0810" w:rsidRPr="003E7CED" w:rsidRDefault="003E7CED" w:rsidP="00EE0810">
      <w:pPr>
        <w:pStyle w:val="APA"/>
        <w:rPr>
          <w:color w:val="FF0000"/>
        </w:rPr>
      </w:pPr>
      <w:r w:rsidRPr="003E7CED">
        <w:rPr>
          <w:color w:val="FF0000"/>
        </w:rPr>
        <w:t>14.5</w:t>
      </w:r>
    </w:p>
    <w:p w:rsidR="00EE0810" w:rsidRDefault="00EE0810" w:rsidP="00EE0810">
      <w:pPr>
        <w:pStyle w:val="APA"/>
      </w:pPr>
    </w:p>
    <w:p w:rsidR="00EE0810" w:rsidRDefault="00EE0810" w:rsidP="00EE0810">
      <w:pPr>
        <w:pStyle w:val="APA"/>
      </w:pPr>
    </w:p>
    <w:p w:rsidR="00EE0810" w:rsidRDefault="00EE0810" w:rsidP="00EE0810">
      <w:pPr>
        <w:pStyle w:val="APA"/>
      </w:pPr>
    </w:p>
    <w:p w:rsidR="00EE0810" w:rsidRDefault="00EE0810" w:rsidP="00EE0810">
      <w:pPr>
        <w:pStyle w:val="APAHeadingCenter"/>
      </w:pPr>
      <w:bookmarkStart w:id="0" w:name="bmTitlePageTitle"/>
      <w:r>
        <w:t>Frailty</w:t>
      </w:r>
      <w:bookmarkEnd w:id="0"/>
    </w:p>
    <w:p w:rsidR="00EE0810" w:rsidRDefault="00EE0810" w:rsidP="00EE0810">
      <w:pPr>
        <w:pStyle w:val="APAHeadingCenter"/>
      </w:pPr>
      <w:bookmarkStart w:id="1" w:name="bmTitlePageName"/>
      <w:r>
        <w:t>Sydney Bailey</w:t>
      </w:r>
      <w:bookmarkEnd w:id="1"/>
    </w:p>
    <w:p w:rsidR="00EE0810" w:rsidRDefault="00EE0810" w:rsidP="00EE0810">
      <w:pPr>
        <w:pStyle w:val="APAHeadingCenter"/>
      </w:pPr>
      <w:bookmarkStart w:id="2" w:name="bmTitlePageInst"/>
      <w:r>
        <w:t>Lakeview College of Nursing</w:t>
      </w:r>
      <w:bookmarkEnd w:id="2"/>
    </w:p>
    <w:p w:rsidR="00EE0810" w:rsidRDefault="00EE0810" w:rsidP="000466E9">
      <w:pPr>
        <w:pStyle w:val="APAHeadingCenter"/>
      </w:pPr>
      <w:bookmarkStart w:id="3" w:name="bmTitleAdd1"/>
      <w:r>
        <w:t>Nursing of the Gerontological Client</w:t>
      </w:r>
      <w:bookmarkStart w:id="4" w:name="bmTitleAdd2"/>
      <w:bookmarkStart w:id="5" w:name="bmTitleAdd3"/>
      <w:bookmarkEnd w:id="3"/>
      <w:bookmarkEnd w:id="4"/>
      <w:bookmarkEnd w:id="5"/>
    </w:p>
    <w:p w:rsidR="00EE0810" w:rsidRDefault="00A02DDF" w:rsidP="00EE0810">
      <w:pPr>
        <w:pStyle w:val="APAHeadingCenter"/>
      </w:pPr>
      <w:bookmarkStart w:id="6" w:name="bmTitleAdd4"/>
      <w:r>
        <w:t>February 19</w:t>
      </w:r>
      <w:r w:rsidR="00EE0810">
        <w:t>, 2012</w:t>
      </w:r>
      <w:bookmarkEnd w:id="6"/>
    </w:p>
    <w:p w:rsidR="00EE0810" w:rsidRDefault="00EE0810" w:rsidP="00EE0810">
      <w:pPr>
        <w:pStyle w:val="APA"/>
        <w:sectPr w:rsidR="00EE0810" w:rsidSect="00EE0810">
          <w:headerReference w:type="default" r:id="rId7"/>
          <w:headerReference w:type="first" r:id="rId8"/>
          <w:pgSz w:w="12240" w:h="15840" w:code="1"/>
          <w:pgMar w:top="1440" w:right="1440" w:bottom="1440" w:left="1440" w:header="720" w:footer="720" w:gutter="0"/>
          <w:cols w:space="720"/>
          <w:titlePg/>
          <w:docGrid w:linePitch="360"/>
        </w:sectPr>
      </w:pPr>
    </w:p>
    <w:p w:rsidR="00EE0810" w:rsidRDefault="00EE0810" w:rsidP="00EE0810">
      <w:pPr>
        <w:pStyle w:val="APA"/>
        <w:sectPr w:rsidR="00EE0810" w:rsidSect="00EE0810">
          <w:headerReference w:type="first" r:id="rId9"/>
          <w:type w:val="continuous"/>
          <w:pgSz w:w="12240" w:h="15840" w:code="1"/>
          <w:pgMar w:top="1440" w:right="1440" w:bottom="1440" w:left="1440" w:header="720" w:footer="720" w:gutter="0"/>
          <w:cols w:space="720"/>
          <w:titlePg/>
          <w:docGrid w:linePitch="360"/>
        </w:sectPr>
      </w:pPr>
    </w:p>
    <w:p w:rsidR="00EE0810" w:rsidRDefault="00EE0810" w:rsidP="00EE0810">
      <w:pPr>
        <w:pStyle w:val="APAHeadingCenter"/>
      </w:pPr>
      <w:bookmarkStart w:id="7" w:name="bmFirstPageTitle"/>
      <w:r>
        <w:lastRenderedPageBreak/>
        <w:t>Frailty</w:t>
      </w:r>
      <w:bookmarkEnd w:id="7"/>
    </w:p>
    <w:p w:rsidR="0065557A" w:rsidRDefault="0065557A" w:rsidP="0065557A">
      <w:pPr>
        <w:pStyle w:val="APA"/>
        <w:ind w:firstLine="0"/>
        <w:rPr>
          <w:b/>
        </w:rPr>
      </w:pPr>
      <w:r w:rsidRPr="0065557A">
        <w:rPr>
          <w:b/>
        </w:rPr>
        <w:t xml:space="preserve">1. Compare and contrast the definitions for frailty, disability, and comorbidity. </w:t>
      </w:r>
    </w:p>
    <w:p w:rsidR="00DA0933" w:rsidRPr="00DA0933" w:rsidRDefault="00DA0933" w:rsidP="0065557A">
      <w:pPr>
        <w:pStyle w:val="APA"/>
        <w:ind w:firstLine="0"/>
      </w:pPr>
      <w:r>
        <w:tab/>
      </w:r>
      <w:r w:rsidR="00483822">
        <w:t>Disability</w:t>
      </w:r>
      <w:r w:rsidR="005C5AE0">
        <w:t xml:space="preserve"> can occur due to a dysfunction of one or multiple body systems, while frailty is typically the dysfunction of multiple systems.</w:t>
      </w:r>
      <w:r w:rsidR="00D2162B">
        <w:t xml:space="preserve">  Comorbidity is the presence of mult</w:t>
      </w:r>
      <w:r w:rsidR="004A0A3E">
        <w:t xml:space="preserve">iple </w:t>
      </w:r>
      <w:r w:rsidR="00F156E1">
        <w:t>distinct disease processes in addition to a primary disease.</w:t>
      </w:r>
      <w:r w:rsidR="00AE7F61">
        <w:t xml:space="preserve">  A disability impacts one’s ability to per</w:t>
      </w:r>
      <w:r w:rsidR="00970F94">
        <w:t xml:space="preserve">form activities of daily living, but does not cause instability in a person’s physiologic condition. </w:t>
      </w:r>
      <w:r w:rsidR="00AE7F61">
        <w:t xml:space="preserve"> Frailty is characteriz</w:t>
      </w:r>
      <w:r w:rsidR="00970F94">
        <w:t>ed by the instability of homeostatic and physi</w:t>
      </w:r>
      <w:r w:rsidR="007B12E6">
        <w:t xml:space="preserve">ological function </w:t>
      </w:r>
      <w:bookmarkStart w:id="8" w:name="C409588263888889I0T409588873842593"/>
      <w:r w:rsidR="007B12E6">
        <w:t>(</w:t>
      </w:r>
      <w:proofErr w:type="spellStart"/>
      <w:r w:rsidR="007B12E6">
        <w:t>Benefield</w:t>
      </w:r>
      <w:proofErr w:type="spellEnd"/>
      <w:r w:rsidR="007B12E6">
        <w:t xml:space="preserve"> &amp; </w:t>
      </w:r>
      <w:proofErr w:type="spellStart"/>
      <w:r w:rsidR="007B12E6">
        <w:t>Higbee</w:t>
      </w:r>
      <w:proofErr w:type="spellEnd"/>
      <w:r w:rsidR="007B12E6">
        <w:t>, 2007)</w:t>
      </w:r>
      <w:bookmarkEnd w:id="8"/>
      <w:r w:rsidR="007B12E6">
        <w:t xml:space="preserve">. </w:t>
      </w:r>
      <w:r w:rsidR="00970F94">
        <w:t xml:space="preserve">  </w:t>
      </w:r>
    </w:p>
    <w:p w:rsidR="0065557A" w:rsidRDefault="0065557A" w:rsidP="0065557A">
      <w:pPr>
        <w:pStyle w:val="APA"/>
        <w:ind w:firstLine="0"/>
        <w:rPr>
          <w:b/>
        </w:rPr>
      </w:pPr>
      <w:r w:rsidRPr="0065557A">
        <w:rPr>
          <w:b/>
        </w:rPr>
        <w:t xml:space="preserve">2. Explain why frailty is considered a syndrome. </w:t>
      </w:r>
    </w:p>
    <w:p w:rsidR="0078177C" w:rsidRPr="0078177C" w:rsidRDefault="0078177C" w:rsidP="0065557A">
      <w:pPr>
        <w:pStyle w:val="APA"/>
        <w:ind w:firstLine="0"/>
      </w:pPr>
      <w:r>
        <w:rPr>
          <w:b/>
        </w:rPr>
        <w:tab/>
      </w:r>
      <w:r w:rsidR="00E3141C">
        <w:t>Frailty is a syndrome because it encompasses multiple symptoms that put patients at increased risk for morbidity, mortality, disability, and dependency.</w:t>
      </w:r>
      <w:r w:rsidR="00B145F2">
        <w:t xml:space="preserve">  Reduced functional ability, impaired physiological systems, and the inability to maintain</w:t>
      </w:r>
      <w:r w:rsidR="00503340">
        <w:t xml:space="preserve"> physiological</w:t>
      </w:r>
      <w:r w:rsidR="00B145F2">
        <w:t xml:space="preserve"> homeostasis</w:t>
      </w:r>
      <w:r w:rsidR="00503340">
        <w:t xml:space="preserve"> all correlate with frailty</w:t>
      </w:r>
      <w:r w:rsidR="00A136A8">
        <w:t xml:space="preserve"> </w:t>
      </w:r>
      <w:bookmarkStart w:id="9" w:name="C409588263888889I0T409588721643519"/>
      <w:r w:rsidR="00A136A8">
        <w:t>(</w:t>
      </w:r>
      <w:proofErr w:type="spellStart"/>
      <w:r w:rsidR="00A136A8">
        <w:t>Benefield</w:t>
      </w:r>
      <w:proofErr w:type="spellEnd"/>
      <w:r w:rsidR="00A136A8">
        <w:t xml:space="preserve"> &amp; </w:t>
      </w:r>
      <w:proofErr w:type="spellStart"/>
      <w:r w:rsidR="00A136A8">
        <w:t>Higbee</w:t>
      </w:r>
      <w:proofErr w:type="spellEnd"/>
      <w:r w:rsidR="00A136A8">
        <w:t>, 2007)</w:t>
      </w:r>
      <w:bookmarkEnd w:id="9"/>
      <w:r w:rsidR="00503340">
        <w:t xml:space="preserve">.  </w:t>
      </w:r>
      <w:r w:rsidR="00B145F2">
        <w:t xml:space="preserve"> </w:t>
      </w:r>
      <w:r w:rsidR="00E3141C">
        <w:t xml:space="preserve">  </w:t>
      </w:r>
    </w:p>
    <w:p w:rsidR="0065557A" w:rsidRDefault="0065557A" w:rsidP="0065557A">
      <w:pPr>
        <w:pStyle w:val="APA"/>
        <w:ind w:firstLine="0"/>
        <w:rPr>
          <w:b/>
        </w:rPr>
      </w:pPr>
      <w:r w:rsidRPr="0065557A">
        <w:rPr>
          <w:b/>
        </w:rPr>
        <w:t xml:space="preserve">3. View the frailty assessment tool and determine Mrs. Gibson's actual score. </w:t>
      </w:r>
    </w:p>
    <w:p w:rsidR="00E95811" w:rsidRDefault="00D225EF" w:rsidP="0065557A">
      <w:pPr>
        <w:pStyle w:val="APA"/>
        <w:ind w:firstLine="0"/>
      </w:pPr>
      <w:r>
        <w:tab/>
      </w:r>
      <w:r w:rsidR="00E95811">
        <w:t xml:space="preserve">Shrinking: Lost 14 pounds, Exhaustion: Fatigue with physical activity, Strength: Unable to ambulate, Slowness: Unable to ambulate, Low Physical Activity: Tires easily and doesn’t walk, so I’m assuming she gets little physical activity.  Based on the information in the case study, I would give Mrs. Gibson a score of five.  </w:t>
      </w:r>
    </w:p>
    <w:p w:rsidR="003E7CED" w:rsidRPr="003E7CED" w:rsidRDefault="003E7CED" w:rsidP="003E7CED">
      <w:pPr>
        <w:overflowPunct/>
        <w:textAlignment w:val="auto"/>
        <w:rPr>
          <w:rFonts w:ascii="ITCGaramondStd-Bk" w:hAnsi="ITCGaramondStd-Bk" w:cs="ITCGaramondStd-Bk"/>
          <w:color w:val="FF0000"/>
        </w:rPr>
      </w:pPr>
      <w:r w:rsidRPr="003E7CED">
        <w:rPr>
          <w:color w:val="FF0000"/>
        </w:rPr>
        <w:t xml:space="preserve"> </w:t>
      </w:r>
      <w:r w:rsidRPr="003E7CED">
        <w:rPr>
          <w:rFonts w:ascii="ITCGaramondStd-Bk" w:hAnsi="ITCGaramondStd-Bk" w:cs="ITCGaramondStd-Bk"/>
          <w:color w:val="FF0000"/>
        </w:rPr>
        <w:t>Mrs. Gibson’s score on the frailty assessment tool is a “3” as she has experienced</w:t>
      </w:r>
    </w:p>
    <w:p w:rsidR="003E7CED" w:rsidRPr="003E7CED" w:rsidRDefault="003E7CED" w:rsidP="003E7CED">
      <w:pPr>
        <w:overflowPunct/>
        <w:textAlignment w:val="auto"/>
        <w:rPr>
          <w:rFonts w:ascii="ITCGaramondStd-Bk" w:hAnsi="ITCGaramondStd-Bk" w:cs="ITCGaramondStd-Bk"/>
          <w:color w:val="FF0000"/>
        </w:rPr>
      </w:pPr>
      <w:proofErr w:type="gramStart"/>
      <w:r w:rsidRPr="003E7CED">
        <w:rPr>
          <w:rFonts w:ascii="ITCGaramondStd-Bk" w:hAnsi="ITCGaramondStd-Bk" w:cs="ITCGaramondStd-Bk"/>
          <w:color w:val="FF0000"/>
        </w:rPr>
        <w:t>a</w:t>
      </w:r>
      <w:proofErr w:type="gramEnd"/>
      <w:r w:rsidRPr="003E7CED">
        <w:rPr>
          <w:rFonts w:ascii="ITCGaramondStd-Bk" w:hAnsi="ITCGaramondStd-Bk" w:cs="ITCGaramondStd-Bk"/>
          <w:color w:val="FF0000"/>
        </w:rPr>
        <w:t xml:space="preserve"> weight loss of 14 lbs, has the presence of fatigue, low physical activity and no</w:t>
      </w:r>
    </w:p>
    <w:p w:rsidR="003E7CED" w:rsidRPr="00D225EF" w:rsidRDefault="003E7CED" w:rsidP="003E7CED">
      <w:pPr>
        <w:pStyle w:val="APA"/>
        <w:ind w:firstLine="0"/>
      </w:pPr>
      <w:proofErr w:type="gramStart"/>
      <w:r w:rsidRPr="003E7CED">
        <w:rPr>
          <w:rFonts w:ascii="ITCGaramondStd-Bk" w:hAnsi="ITCGaramondStd-Bk" w:cs="ITCGaramondStd-Bk"/>
          <w:color w:val="FF0000"/>
        </w:rPr>
        <w:t>longer</w:t>
      </w:r>
      <w:proofErr w:type="gramEnd"/>
      <w:r w:rsidRPr="003E7CED">
        <w:rPr>
          <w:rFonts w:ascii="ITCGaramondStd-Bk" w:hAnsi="ITCGaramondStd-Bk" w:cs="ITCGaramondStd-Bk"/>
          <w:color w:val="FF0000"/>
        </w:rPr>
        <w:t xml:space="preserve"> can ambulate</w:t>
      </w:r>
    </w:p>
    <w:p w:rsidR="00EE0810" w:rsidRPr="00325CAC" w:rsidRDefault="0065557A" w:rsidP="0065557A">
      <w:pPr>
        <w:pStyle w:val="APA"/>
        <w:ind w:firstLine="0"/>
      </w:pPr>
      <w:r w:rsidRPr="0065557A">
        <w:rPr>
          <w:b/>
        </w:rPr>
        <w:t xml:space="preserve">4. Differentiate primary versus secondary frailty. </w:t>
      </w:r>
      <w:r w:rsidR="00325CAC">
        <w:rPr>
          <w:b/>
        </w:rPr>
        <w:br/>
      </w:r>
      <w:r w:rsidR="00325CAC">
        <w:rPr>
          <w:b/>
        </w:rPr>
        <w:tab/>
        <w:t>“</w:t>
      </w:r>
      <w:r w:rsidR="00325CAC" w:rsidRPr="00325CAC">
        <w:rPr>
          <w:color w:val="343434"/>
          <w:szCs w:val="24"/>
        </w:rPr>
        <w:t>Primary frailty has no underlying, pathological causative factors, whereas secondary frailty originates from underlying, pathological causative factors</w:t>
      </w:r>
      <w:r w:rsidR="00457E3B">
        <w:rPr>
          <w:color w:val="343434"/>
          <w:szCs w:val="24"/>
        </w:rPr>
        <w:t>”</w:t>
      </w:r>
      <w:r w:rsidR="009826B5">
        <w:rPr>
          <w:color w:val="343434"/>
          <w:szCs w:val="24"/>
        </w:rPr>
        <w:t xml:space="preserve"> </w:t>
      </w:r>
      <w:bookmarkStart w:id="10" w:name="C409588263888889I0T409588332870370"/>
      <w:r w:rsidR="009826B5">
        <w:rPr>
          <w:color w:val="343434"/>
          <w:szCs w:val="24"/>
        </w:rPr>
        <w:t>(Benefield &amp; Higbee, 2007, para. 20)</w:t>
      </w:r>
      <w:bookmarkEnd w:id="10"/>
      <w:r w:rsidR="001771E7">
        <w:rPr>
          <w:color w:val="343434"/>
          <w:szCs w:val="24"/>
        </w:rPr>
        <w:t>.</w:t>
      </w:r>
      <w:r w:rsidR="00457E3B">
        <w:rPr>
          <w:color w:val="343434"/>
          <w:szCs w:val="24"/>
        </w:rPr>
        <w:t xml:space="preserve"> </w:t>
      </w:r>
    </w:p>
    <w:p w:rsidR="0065557A" w:rsidRDefault="0065557A" w:rsidP="0065557A">
      <w:pPr>
        <w:pStyle w:val="APA"/>
        <w:ind w:firstLine="0"/>
        <w:rPr>
          <w:b/>
        </w:rPr>
      </w:pPr>
      <w:r w:rsidRPr="0065557A">
        <w:rPr>
          <w:b/>
        </w:rPr>
        <w:lastRenderedPageBreak/>
        <w:t>5. What criteria comprise the six physiologic-based risk factors for frailty?</w:t>
      </w:r>
    </w:p>
    <w:p w:rsidR="00360DC2" w:rsidRPr="00360DC2" w:rsidRDefault="00360DC2" w:rsidP="0065557A">
      <w:pPr>
        <w:pStyle w:val="APA"/>
        <w:ind w:firstLine="0"/>
      </w:pPr>
      <w:r>
        <w:rPr>
          <w:b/>
        </w:rPr>
        <w:tab/>
      </w:r>
      <w:r w:rsidR="00C43F67">
        <w:t xml:space="preserve">Physiologic-based risk factors include the following: </w:t>
      </w:r>
      <w:r w:rsidR="00145B6D">
        <w:t>activated inflammation</w:t>
      </w:r>
      <w:r w:rsidR="00C43F67">
        <w:t xml:space="preserve">, immune system dysfunction, anemia, endocrine system alteration, underweight or overweight, and </w:t>
      </w:r>
      <w:r w:rsidR="00812235">
        <w:t xml:space="preserve">increasing </w:t>
      </w:r>
      <w:r w:rsidR="00C43F67">
        <w:t>age</w:t>
      </w:r>
      <w:r w:rsidR="00842C30">
        <w:t xml:space="preserve"> </w:t>
      </w:r>
      <w:bookmarkStart w:id="11" w:name="C409587868981482I0T409587952893519"/>
      <w:r w:rsidR="00842C30">
        <w:t>(Espinoza &amp; Fried, 2007)</w:t>
      </w:r>
      <w:bookmarkEnd w:id="11"/>
      <w:r w:rsidR="00C43F67">
        <w:t xml:space="preserve">.  </w:t>
      </w:r>
    </w:p>
    <w:p w:rsidR="00E11BE6" w:rsidRDefault="0065557A" w:rsidP="0065557A">
      <w:pPr>
        <w:pStyle w:val="APA"/>
        <w:ind w:firstLine="0"/>
        <w:rPr>
          <w:b/>
        </w:rPr>
      </w:pPr>
      <w:r w:rsidRPr="0065557A">
        <w:rPr>
          <w:b/>
        </w:rPr>
        <w:t>6. Discuss the sociodemographic and psychological risk factors presented in the article.</w:t>
      </w:r>
    </w:p>
    <w:p w:rsidR="0065557A" w:rsidRPr="0065557A" w:rsidRDefault="00E11BE6" w:rsidP="0065557A">
      <w:pPr>
        <w:pStyle w:val="APA"/>
        <w:ind w:firstLine="0"/>
        <w:rPr>
          <w:b/>
        </w:rPr>
      </w:pPr>
      <w:r>
        <w:tab/>
        <w:t>Woman are more likely than men to be characterized as frail because females have less muscle mas</w:t>
      </w:r>
      <w:r w:rsidR="008A1DAA">
        <w:t>s than their male counterparts.  Lifestyle choices, such as poor diet and substance abuse, and access to healthcare</w:t>
      </w:r>
      <w:r w:rsidR="004A0A3E">
        <w:t>,</w:t>
      </w:r>
      <w:bookmarkStart w:id="12" w:name="_GoBack"/>
      <w:bookmarkEnd w:id="12"/>
      <w:r w:rsidR="008A1DAA">
        <w:t xml:space="preserve"> are more prevalent in those of low socioeconomic status.  Hence, low education level and low annual income put individuals at risk for frailty.  </w:t>
      </w:r>
      <w:r w:rsidR="00E845B3">
        <w:t>Likewise, non-whites are at a higher risk than whites.</w:t>
      </w:r>
      <w:r w:rsidR="008A1DAA">
        <w:t xml:space="preserve">  </w:t>
      </w:r>
      <w:r w:rsidR="00E845B3">
        <w:t>As for psychological risk factors, depression contributes to frailty due to weight loss, inactivity, and susceptibility to acute illness.  Finally, individuals who do not report or seek treatment for health issues are at increased risk for frailty</w:t>
      </w:r>
      <w:r w:rsidR="0023044B">
        <w:t xml:space="preserve"> </w:t>
      </w:r>
      <w:bookmarkStart w:id="13" w:name="C409587868981482I0T409588004050926"/>
      <w:r w:rsidR="0023044B">
        <w:t>(Espinoza &amp; Fried, 2007)</w:t>
      </w:r>
      <w:bookmarkEnd w:id="13"/>
      <w:r w:rsidR="00E845B3">
        <w:t xml:space="preserve">.   </w:t>
      </w:r>
      <w:r>
        <w:t xml:space="preserve">    </w:t>
      </w:r>
      <w:r w:rsidR="0065557A" w:rsidRPr="0065557A">
        <w:rPr>
          <w:b/>
        </w:rPr>
        <w:t xml:space="preserve"> </w:t>
      </w:r>
    </w:p>
    <w:p w:rsidR="0065557A" w:rsidRDefault="0065557A" w:rsidP="0065557A">
      <w:pPr>
        <w:pStyle w:val="APA"/>
        <w:ind w:firstLine="0"/>
        <w:rPr>
          <w:b/>
        </w:rPr>
      </w:pPr>
      <w:r w:rsidRPr="0065557A">
        <w:rPr>
          <w:b/>
        </w:rPr>
        <w:t xml:space="preserve">7. Which of the risk factors reviewed for frailty would not be modifiable? </w:t>
      </w:r>
    </w:p>
    <w:p w:rsidR="003672F8" w:rsidRPr="003672F8" w:rsidRDefault="003672F8" w:rsidP="0065557A">
      <w:pPr>
        <w:pStyle w:val="APA"/>
        <w:ind w:firstLine="0"/>
      </w:pPr>
      <w:r>
        <w:rPr>
          <w:b/>
        </w:rPr>
        <w:tab/>
      </w:r>
      <w:r w:rsidR="00CA5C4D">
        <w:t>Race</w:t>
      </w:r>
      <w:r>
        <w:t xml:space="preserve">, gender, age, </w:t>
      </w:r>
      <w:r w:rsidR="0075071B">
        <w:t>and socioeconomic status are not modifiable</w:t>
      </w:r>
      <w:r w:rsidR="00842C30">
        <w:t xml:space="preserve"> </w:t>
      </w:r>
      <w:bookmarkStart w:id="14" w:name="C409587868981482I0T409587950925926"/>
      <w:r w:rsidR="00842C30">
        <w:t>(Espinoza &amp; Fried, 2007)</w:t>
      </w:r>
      <w:bookmarkEnd w:id="14"/>
      <w:r w:rsidR="0075071B">
        <w:t xml:space="preserve">.  </w:t>
      </w:r>
    </w:p>
    <w:p w:rsidR="00DB3220" w:rsidRDefault="0065557A" w:rsidP="0065557A">
      <w:pPr>
        <w:pStyle w:val="APA"/>
        <w:ind w:firstLine="0"/>
        <w:rPr>
          <w:b/>
        </w:rPr>
      </w:pPr>
      <w:r w:rsidRPr="0065557A">
        <w:rPr>
          <w:b/>
        </w:rPr>
        <w:t>8. Nutritional supplements as an alternative medicine i</w:t>
      </w:r>
      <w:r w:rsidR="00DB3220">
        <w:rPr>
          <w:b/>
        </w:rPr>
        <w:t>ntervention for frailty include</w:t>
      </w:r>
      <w:r w:rsidRPr="0065557A">
        <w:rPr>
          <w:b/>
        </w:rPr>
        <w:t xml:space="preserve"> the following: (select all that apply) </w:t>
      </w:r>
    </w:p>
    <w:p w:rsidR="00DB3220" w:rsidRPr="00DB3220" w:rsidRDefault="0065557A" w:rsidP="0065557A">
      <w:pPr>
        <w:pStyle w:val="APA"/>
        <w:ind w:firstLine="0"/>
      </w:pPr>
      <w:r w:rsidRPr="00DB3220">
        <w:rPr>
          <w:highlight w:val="yellow"/>
        </w:rPr>
        <w:t>a. Carotenoids</w:t>
      </w:r>
    </w:p>
    <w:p w:rsidR="00DB3220" w:rsidRPr="00DB3220" w:rsidRDefault="0065557A" w:rsidP="0065557A">
      <w:pPr>
        <w:pStyle w:val="APA"/>
        <w:ind w:firstLine="0"/>
      </w:pPr>
      <w:r w:rsidRPr="00DB3220">
        <w:rPr>
          <w:highlight w:val="yellow"/>
        </w:rPr>
        <w:t>b. Vitamin D</w:t>
      </w:r>
      <w:r w:rsidRPr="00DB3220">
        <w:t xml:space="preserve"> </w:t>
      </w:r>
    </w:p>
    <w:p w:rsidR="00DB3220" w:rsidRPr="00DB3220" w:rsidRDefault="0065557A" w:rsidP="0065557A">
      <w:pPr>
        <w:pStyle w:val="APA"/>
        <w:ind w:firstLine="0"/>
      </w:pPr>
      <w:r w:rsidRPr="00DB3220">
        <w:t xml:space="preserve">c. Probiotics </w:t>
      </w:r>
    </w:p>
    <w:p w:rsidR="00DB3220" w:rsidRPr="00DB3220" w:rsidRDefault="0065557A" w:rsidP="0065557A">
      <w:pPr>
        <w:pStyle w:val="APA"/>
        <w:ind w:firstLine="0"/>
      </w:pPr>
      <w:r w:rsidRPr="00DB3220">
        <w:rPr>
          <w:highlight w:val="yellow"/>
        </w:rPr>
        <w:t>d. Creatine</w:t>
      </w:r>
      <w:r w:rsidRPr="00DB3220">
        <w:t xml:space="preserve"> </w:t>
      </w:r>
    </w:p>
    <w:p w:rsidR="0065557A" w:rsidRPr="00DB3220" w:rsidRDefault="0065557A" w:rsidP="0065557A">
      <w:pPr>
        <w:pStyle w:val="APA"/>
        <w:ind w:firstLine="0"/>
      </w:pPr>
      <w:r w:rsidRPr="00DB3220">
        <w:rPr>
          <w:highlight w:val="yellow"/>
        </w:rPr>
        <w:t>e. Dehydroepiandrosterone (DHEA)</w:t>
      </w:r>
      <w:r w:rsidRPr="00DB3220">
        <w:t xml:space="preserve"> </w:t>
      </w:r>
    </w:p>
    <w:p w:rsidR="0065557A" w:rsidRDefault="0065557A" w:rsidP="0065557A">
      <w:pPr>
        <w:pStyle w:val="APA"/>
        <w:ind w:firstLine="0"/>
        <w:rPr>
          <w:b/>
        </w:rPr>
      </w:pPr>
      <w:r w:rsidRPr="0065557A">
        <w:rPr>
          <w:b/>
        </w:rPr>
        <w:lastRenderedPageBreak/>
        <w:t>9. Using the same Internet source, discuss how tai chi may be an appropriate intervention.</w:t>
      </w:r>
    </w:p>
    <w:p w:rsidR="000D4351" w:rsidRDefault="003F4B43" w:rsidP="000D4351">
      <w:pPr>
        <w:pStyle w:val="APA"/>
        <w:ind w:firstLine="0"/>
        <w:rPr>
          <w:szCs w:val="24"/>
        </w:rPr>
      </w:pPr>
      <w:r>
        <w:rPr>
          <w:b/>
        </w:rPr>
        <w:tab/>
        <w:t>“</w:t>
      </w:r>
      <w:r w:rsidRPr="003F4B43">
        <w:rPr>
          <w:color w:val="2A303B"/>
          <w:szCs w:val="24"/>
        </w:rPr>
        <w:t xml:space="preserve">Tai chi might directly or indirectly </w:t>
      </w:r>
      <w:r>
        <w:rPr>
          <w:color w:val="2A303B"/>
          <w:szCs w:val="24"/>
        </w:rPr>
        <w:t xml:space="preserve">address three components of [frailty syndrome]: </w:t>
      </w:r>
      <w:r w:rsidRPr="003F4B43">
        <w:rPr>
          <w:color w:val="2A303B"/>
          <w:szCs w:val="24"/>
        </w:rPr>
        <w:t>weakness, slow walking speed, and low physical activity. By improving strength and balance, it provides potential benefit for those with reduced ambulatory capacity or a tendency to fall</w:t>
      </w:r>
      <w:r>
        <w:rPr>
          <w:color w:val="2A303B"/>
          <w:szCs w:val="24"/>
        </w:rPr>
        <w:t>”</w:t>
      </w:r>
      <w:r w:rsidR="00C32305">
        <w:rPr>
          <w:color w:val="2A303B"/>
          <w:szCs w:val="24"/>
        </w:rPr>
        <w:t xml:space="preserve"> </w:t>
      </w:r>
      <w:bookmarkStart w:id="15" w:name="C409588118865741I0T409588170717593"/>
      <w:r w:rsidR="00C32305">
        <w:rPr>
          <w:color w:val="2A303B"/>
          <w:szCs w:val="24"/>
        </w:rPr>
        <w:t>(</w:t>
      </w:r>
      <w:proofErr w:type="spellStart"/>
      <w:r w:rsidR="00C32305">
        <w:rPr>
          <w:color w:val="2A303B"/>
          <w:szCs w:val="24"/>
        </w:rPr>
        <w:t>Cherniack</w:t>
      </w:r>
      <w:proofErr w:type="spellEnd"/>
      <w:r w:rsidR="00C32305">
        <w:rPr>
          <w:color w:val="2A303B"/>
          <w:szCs w:val="24"/>
        </w:rPr>
        <w:t xml:space="preserve">, </w:t>
      </w:r>
      <w:proofErr w:type="spellStart"/>
      <w:r w:rsidR="00C32305">
        <w:rPr>
          <w:color w:val="2A303B"/>
          <w:szCs w:val="24"/>
        </w:rPr>
        <w:t>Florez</w:t>
      </w:r>
      <w:proofErr w:type="spellEnd"/>
      <w:r w:rsidR="00C32305">
        <w:rPr>
          <w:color w:val="2A303B"/>
          <w:szCs w:val="24"/>
        </w:rPr>
        <w:t xml:space="preserve">, &amp; </w:t>
      </w:r>
      <w:proofErr w:type="spellStart"/>
      <w:r w:rsidR="00C32305">
        <w:rPr>
          <w:color w:val="2A303B"/>
          <w:szCs w:val="24"/>
        </w:rPr>
        <w:t>Troen</w:t>
      </w:r>
      <w:proofErr w:type="spellEnd"/>
      <w:r w:rsidR="00C32305">
        <w:rPr>
          <w:color w:val="2A303B"/>
          <w:szCs w:val="24"/>
        </w:rPr>
        <w:t>, 2007, p. 5)</w:t>
      </w:r>
      <w:bookmarkEnd w:id="15"/>
      <w:r w:rsidR="00C32305">
        <w:rPr>
          <w:color w:val="2A303B"/>
          <w:szCs w:val="24"/>
        </w:rPr>
        <w:t xml:space="preserve">.  </w:t>
      </w:r>
      <w:r w:rsidR="00D37C93">
        <w:rPr>
          <w:color w:val="2A303B"/>
          <w:szCs w:val="24"/>
        </w:rPr>
        <w:t>Likewise, tai chi</w:t>
      </w:r>
      <w:r w:rsidR="00B63A20">
        <w:rPr>
          <w:color w:val="2A303B"/>
          <w:szCs w:val="24"/>
        </w:rPr>
        <w:t xml:space="preserve"> increases functional status in </w:t>
      </w:r>
      <w:r w:rsidR="00D37C93">
        <w:rPr>
          <w:color w:val="2A303B"/>
          <w:szCs w:val="24"/>
        </w:rPr>
        <w:t>comorbidities related to frailty syndrome, such as osteoarthritis and congestive heart failure</w:t>
      </w:r>
      <w:r w:rsidR="00C32305">
        <w:rPr>
          <w:color w:val="2A303B"/>
          <w:szCs w:val="24"/>
        </w:rPr>
        <w:t xml:space="preserve"> </w:t>
      </w:r>
      <w:bookmarkStart w:id="16" w:name="C409588118865741I0T409588174074074"/>
      <w:r w:rsidR="00C32305">
        <w:rPr>
          <w:color w:val="2A303B"/>
          <w:szCs w:val="24"/>
        </w:rPr>
        <w:t>(</w:t>
      </w:r>
      <w:proofErr w:type="spellStart"/>
      <w:r w:rsidR="00C32305">
        <w:rPr>
          <w:color w:val="2A303B"/>
          <w:szCs w:val="24"/>
        </w:rPr>
        <w:t>Cherniack</w:t>
      </w:r>
      <w:proofErr w:type="spellEnd"/>
      <w:r w:rsidR="00C32305">
        <w:rPr>
          <w:color w:val="2A303B"/>
          <w:szCs w:val="24"/>
        </w:rPr>
        <w:t xml:space="preserve"> et al., 2007)</w:t>
      </w:r>
      <w:bookmarkEnd w:id="16"/>
      <w:r w:rsidR="00D37C93">
        <w:rPr>
          <w:color w:val="2A303B"/>
          <w:szCs w:val="24"/>
        </w:rPr>
        <w:t xml:space="preserve">.   </w:t>
      </w:r>
    </w:p>
    <w:p w:rsidR="004255D6" w:rsidRDefault="00D570D4" w:rsidP="000D4351">
      <w:pPr>
        <w:pStyle w:val="APA"/>
        <w:ind w:firstLine="0"/>
        <w:rPr>
          <w:b/>
        </w:rPr>
      </w:pPr>
      <w:r w:rsidRPr="000D4351">
        <w:rPr>
          <w:b/>
        </w:rPr>
        <w:t xml:space="preserve">10. </w:t>
      </w:r>
      <w:r w:rsidR="0065557A" w:rsidRPr="000D4351">
        <w:rPr>
          <w:b/>
        </w:rPr>
        <w:t>What are specific examples used in facilities/agencies which</w:t>
      </w:r>
      <w:r w:rsidR="00231A5D">
        <w:rPr>
          <w:b/>
        </w:rPr>
        <w:t xml:space="preserve"> </w:t>
      </w:r>
      <w:r w:rsidR="0065557A" w:rsidRPr="000D4351">
        <w:rPr>
          <w:b/>
        </w:rPr>
        <w:t xml:space="preserve">implement universal design?  </w:t>
      </w:r>
    </w:p>
    <w:p w:rsidR="00231A5D" w:rsidRDefault="00231A5D" w:rsidP="000D4351">
      <w:pPr>
        <w:pStyle w:val="APA"/>
        <w:ind w:firstLine="0"/>
      </w:pPr>
      <w:r>
        <w:rPr>
          <w:b/>
        </w:rPr>
        <w:tab/>
      </w:r>
      <w:r>
        <w:t xml:space="preserve">Examples of universal design include the following: </w:t>
      </w:r>
      <w:r w:rsidR="00836EDF">
        <w:t>widened doorways, walk-in or roll-in showers, grab bars in the shower and toilet area, shower seats, open space under the sink and oven for wheelchair access, side-by-side refrigerators, levers instead of traditional doorknobs, wheelchair ramps, large controls on appliances, large television remotes, nonslip surfaces, and contrasting floor colors</w:t>
      </w:r>
      <w:r w:rsidR="001100B3">
        <w:t xml:space="preserve"> </w:t>
      </w:r>
      <w:bookmarkStart w:id="17" w:name="C409588513078704I0T409588555439815"/>
      <w:r w:rsidR="001100B3">
        <w:t xml:space="preserve">(Crews &amp; </w:t>
      </w:r>
      <w:proofErr w:type="spellStart"/>
      <w:r w:rsidR="001100B3">
        <w:t>Zavotka</w:t>
      </w:r>
      <w:proofErr w:type="spellEnd"/>
      <w:r w:rsidR="001100B3">
        <w:t>, 2006)</w:t>
      </w:r>
      <w:bookmarkEnd w:id="17"/>
      <w:r w:rsidR="001100B3">
        <w:t xml:space="preserve">. </w:t>
      </w:r>
      <w:r w:rsidR="00836EDF">
        <w:t xml:space="preserve">  </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Installing standard electrical receptacles higher than usual above the floor, so they</w:t>
      </w:r>
    </w:p>
    <w:p w:rsidR="003E7CED" w:rsidRPr="003E7CED" w:rsidRDefault="003E7CED" w:rsidP="003E7CED">
      <w:pPr>
        <w:overflowPunct/>
        <w:textAlignment w:val="auto"/>
        <w:rPr>
          <w:rFonts w:ascii="ITCGaramondStd-Bk" w:hAnsi="ITCGaramondStd-Bk" w:cs="ITCGaramondStd-Bk"/>
          <w:color w:val="FF0000"/>
        </w:rPr>
      </w:pPr>
      <w:proofErr w:type="gramStart"/>
      <w:r w:rsidRPr="003E7CED">
        <w:rPr>
          <w:rFonts w:ascii="ITCGaramondStd-Bk" w:hAnsi="ITCGaramondStd-Bk" w:cs="ITCGaramondStd-Bk"/>
          <w:color w:val="FF0000"/>
        </w:rPr>
        <w:t>are</w:t>
      </w:r>
      <w:proofErr w:type="gramEnd"/>
      <w:r w:rsidRPr="003E7CED">
        <w:rPr>
          <w:rFonts w:ascii="ITCGaramondStd-Bk" w:hAnsi="ITCGaramondStd-Bk" w:cs="ITCGaramondStd-Bk"/>
          <w:color w:val="FF0000"/>
        </w:rPr>
        <w:t xml:space="preserve"> in easy reach of everyone;</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 Selecting wider doors, along with wider hallways;</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 Making flat entrances;</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 Installing handles for doors and drawers that require no gripping or twisting to</w:t>
      </w:r>
    </w:p>
    <w:p w:rsidR="003E7CED" w:rsidRPr="003E7CED" w:rsidRDefault="003E7CED" w:rsidP="003E7CED">
      <w:pPr>
        <w:overflowPunct/>
        <w:textAlignment w:val="auto"/>
        <w:rPr>
          <w:rFonts w:ascii="ITCGaramondStd-Bk" w:hAnsi="ITCGaramondStd-Bk" w:cs="ITCGaramondStd-Bk"/>
          <w:color w:val="FF0000"/>
        </w:rPr>
      </w:pPr>
      <w:proofErr w:type="gramStart"/>
      <w:r w:rsidRPr="003E7CED">
        <w:rPr>
          <w:rFonts w:ascii="ITCGaramondStd-Bk" w:hAnsi="ITCGaramondStd-Bk" w:cs="ITCGaramondStd-Bk"/>
          <w:color w:val="FF0000"/>
        </w:rPr>
        <w:t>operate—</w:t>
      </w:r>
      <w:proofErr w:type="gramEnd"/>
      <w:r w:rsidRPr="003E7CED">
        <w:rPr>
          <w:rFonts w:ascii="ITCGaramondStd-Bk" w:hAnsi="ITCGaramondStd-Bk" w:cs="ITCGaramondStd-Bk"/>
          <w:color w:val="FF0000"/>
        </w:rPr>
        <w:t>such as louver or loop handles;</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 Provide storage spaces within reach of both short and tall people;</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 Minimize the need for staircases;</w:t>
      </w:r>
    </w:p>
    <w:p w:rsidR="003E7CED" w:rsidRPr="003E7CED" w:rsidRDefault="003E7CED" w:rsidP="003E7CED">
      <w:pPr>
        <w:overflowPunct/>
        <w:textAlignment w:val="auto"/>
        <w:rPr>
          <w:rFonts w:ascii="ITCGaramondStd-Bk" w:hAnsi="ITCGaramondStd-Bk" w:cs="ITCGaramondStd-Bk"/>
          <w:color w:val="FF0000"/>
        </w:rPr>
      </w:pPr>
      <w:r w:rsidRPr="003E7CED">
        <w:rPr>
          <w:rFonts w:ascii="ITCGaramondStd-Bk" w:hAnsi="ITCGaramondStd-Bk" w:cs="ITCGaramondStd-Bk"/>
          <w:color w:val="FF0000"/>
        </w:rPr>
        <w:t>• Any and all procedures, equipment, and strategies promoting safety to avoid</w:t>
      </w:r>
    </w:p>
    <w:p w:rsidR="003E7CED" w:rsidRPr="00231A5D" w:rsidRDefault="003E7CED" w:rsidP="003E7CED">
      <w:pPr>
        <w:pStyle w:val="APA"/>
        <w:ind w:firstLine="0"/>
      </w:pPr>
      <w:proofErr w:type="gramStart"/>
      <w:r w:rsidRPr="003E7CED">
        <w:rPr>
          <w:rFonts w:ascii="ITCGaramondStd-Bk" w:hAnsi="ITCGaramondStd-Bk" w:cs="ITCGaramondStd-Bk"/>
          <w:color w:val="FF0000"/>
        </w:rPr>
        <w:t>falls</w:t>
      </w:r>
      <w:proofErr w:type="gramEnd"/>
      <w:r w:rsidRPr="003E7CED">
        <w:rPr>
          <w:rFonts w:ascii="ITCGaramondStd-Bk" w:hAnsi="ITCGaramondStd-Bk" w:cs="ITCGaramondStd-Bk"/>
          <w:color w:val="FF0000"/>
        </w:rPr>
        <w:t xml:space="preserve"> or injuries</w:t>
      </w:r>
      <w:r>
        <w:rPr>
          <w:rFonts w:ascii="ITCGaramondStd-Bk" w:hAnsi="ITCGaramondStd-Bk" w:cs="ITCGaramondStd-Bk"/>
        </w:rPr>
        <w:t>.</w:t>
      </w:r>
    </w:p>
    <w:p w:rsidR="00231A5D" w:rsidRPr="00231A5D" w:rsidRDefault="00231A5D" w:rsidP="000D4351">
      <w:pPr>
        <w:pStyle w:val="APA"/>
        <w:ind w:firstLine="0"/>
      </w:pPr>
      <w:r>
        <w:rPr>
          <w:b/>
        </w:rPr>
        <w:tab/>
      </w:r>
    </w:p>
    <w:p w:rsidR="00882B98" w:rsidRDefault="00333982" w:rsidP="00882B98">
      <w:pPr>
        <w:pStyle w:val="APA"/>
      </w:pPr>
      <w:r>
        <w:tab/>
      </w:r>
    </w:p>
    <w:p w:rsidR="00882B98" w:rsidRDefault="00882B98">
      <w:pPr>
        <w:overflowPunct/>
        <w:autoSpaceDE/>
        <w:autoSpaceDN/>
        <w:adjustRightInd/>
        <w:textAlignment w:val="auto"/>
        <w:rPr>
          <w:sz w:val="24"/>
        </w:rPr>
      </w:pPr>
      <w:r>
        <w:br w:type="page"/>
      </w:r>
    </w:p>
    <w:p w:rsidR="00882B98" w:rsidRDefault="00882B98" w:rsidP="00882B98">
      <w:pPr>
        <w:pStyle w:val="APAHeadingCenter"/>
      </w:pPr>
      <w:r>
        <w:lastRenderedPageBreak/>
        <w:t>References</w:t>
      </w:r>
    </w:p>
    <w:p w:rsidR="00882B98" w:rsidRDefault="00882B98" w:rsidP="00882B98">
      <w:pPr>
        <w:pStyle w:val="APAReference"/>
      </w:pPr>
      <w:bookmarkStart w:id="18" w:name="R409588263888889I0"/>
      <w:proofErr w:type="spellStart"/>
      <w:r>
        <w:t>Benefield</w:t>
      </w:r>
      <w:proofErr w:type="spellEnd"/>
      <w:r>
        <w:t xml:space="preserve">, L. E., &amp; </w:t>
      </w:r>
      <w:proofErr w:type="spellStart"/>
      <w:r>
        <w:t>Higbee</w:t>
      </w:r>
      <w:proofErr w:type="spellEnd"/>
      <w:r>
        <w:t>, R. L. (2007). Frailty and its implications for care. Retrieved February 19, 2012, from http://consultgerirn.org/topics/frailty_and_its_implications_for_care_new/want_to_know_more</w:t>
      </w:r>
      <w:bookmarkEnd w:id="18"/>
    </w:p>
    <w:p w:rsidR="00882B98" w:rsidRDefault="00882B98" w:rsidP="00882B98">
      <w:pPr>
        <w:pStyle w:val="APAReference"/>
      </w:pPr>
      <w:bookmarkStart w:id="19" w:name="R409588118865741I0"/>
      <w:proofErr w:type="spellStart"/>
      <w:r>
        <w:t>Cherniack</w:t>
      </w:r>
      <w:proofErr w:type="spellEnd"/>
      <w:r>
        <w:t xml:space="preserve">, E. P., </w:t>
      </w:r>
      <w:proofErr w:type="spellStart"/>
      <w:r>
        <w:t>Florez</w:t>
      </w:r>
      <w:proofErr w:type="spellEnd"/>
      <w:r>
        <w:t xml:space="preserve">, H. J., &amp; </w:t>
      </w:r>
      <w:proofErr w:type="spellStart"/>
      <w:r>
        <w:t>Troen</w:t>
      </w:r>
      <w:proofErr w:type="spellEnd"/>
      <w:r>
        <w:t xml:space="preserve">, B. R. (2007, September). Emerging therapies to treat frailty syndrome in the elderly. </w:t>
      </w:r>
      <w:proofErr w:type="gramStart"/>
      <w:r>
        <w:rPr>
          <w:i/>
        </w:rPr>
        <w:t>Alternative Medicine Review</w:t>
      </w:r>
      <w:r>
        <w:t>.</w:t>
      </w:r>
      <w:proofErr w:type="gramEnd"/>
      <w:r>
        <w:t xml:space="preserve"> Retrieved from http://www.findarticles.com</w:t>
      </w:r>
      <w:bookmarkEnd w:id="19"/>
    </w:p>
    <w:p w:rsidR="00882B98" w:rsidRDefault="00882B98" w:rsidP="00882B98">
      <w:pPr>
        <w:pStyle w:val="APAReference"/>
      </w:pPr>
      <w:bookmarkStart w:id="20" w:name="R409588513078704I0"/>
      <w:r>
        <w:t xml:space="preserve">Crews, D. E., &amp; </w:t>
      </w:r>
      <w:proofErr w:type="spellStart"/>
      <w:r>
        <w:t>Zavotka</w:t>
      </w:r>
      <w:proofErr w:type="spellEnd"/>
      <w:r>
        <w:t>, S. (2006). Aging, disability, and frailty</w:t>
      </w:r>
      <w:r w:rsidRPr="003E7CED">
        <w:rPr>
          <w:color w:val="FF0000"/>
        </w:rPr>
        <w:t xml:space="preserve">: </w:t>
      </w:r>
      <w:r w:rsidR="003E7CED">
        <w:rPr>
          <w:color w:val="FF0000"/>
        </w:rPr>
        <w:t>I</w:t>
      </w:r>
      <w:r>
        <w:t xml:space="preserve">mplications for universal design. </w:t>
      </w:r>
      <w:r>
        <w:rPr>
          <w:i/>
        </w:rPr>
        <w:t>Journal of Physiological Anthropology</w:t>
      </w:r>
      <w:r>
        <w:t xml:space="preserve">, </w:t>
      </w:r>
      <w:r>
        <w:rPr>
          <w:i/>
        </w:rPr>
        <w:t>25</w:t>
      </w:r>
      <w:r>
        <w:t>, 113-118. Retrieved from http://www.sld.cu</w:t>
      </w:r>
      <w:bookmarkEnd w:id="20"/>
    </w:p>
    <w:p w:rsidR="00882B98" w:rsidRPr="00882B98" w:rsidRDefault="00882B98" w:rsidP="00882B98">
      <w:pPr>
        <w:pStyle w:val="APAReference"/>
      </w:pPr>
      <w:bookmarkStart w:id="21" w:name="R409587868981482I0"/>
      <w:r>
        <w:t xml:space="preserve">Espinoza, S. E., &amp; Fried, L. P. (2007, June). Risk factors for frailty in the older adult. </w:t>
      </w:r>
      <w:r>
        <w:rPr>
          <w:i/>
        </w:rPr>
        <w:t>Clinical Geriatrics</w:t>
      </w:r>
      <w:r>
        <w:t xml:space="preserve">, </w:t>
      </w:r>
      <w:r>
        <w:rPr>
          <w:i/>
        </w:rPr>
        <w:t>15</w:t>
      </w:r>
      <w:r>
        <w:t>(6), 37-44. Retrieved from http://www.imsersomayores.csic.es/documentos/boletin/2007/numero-52/art-07-07-01.pdf</w:t>
      </w:r>
      <w:bookmarkEnd w:id="21"/>
    </w:p>
    <w:p w:rsidR="004255D6" w:rsidRDefault="004255D6" w:rsidP="004255D6">
      <w:pPr>
        <w:pStyle w:val="APAHeadingCenter"/>
      </w:pPr>
    </w:p>
    <w:sectPr w:rsidR="004255D6" w:rsidSect="00EE08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A3E" w:rsidRDefault="004A0A3E">
      <w:r>
        <w:separator/>
      </w:r>
    </w:p>
  </w:endnote>
  <w:endnote w:type="continuationSeparator" w:id="0">
    <w:p w:rsidR="004A0A3E" w:rsidRDefault="004A0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A3E" w:rsidRDefault="004A0A3E">
      <w:r>
        <w:separator/>
      </w:r>
    </w:p>
  </w:footnote>
  <w:footnote w:type="continuationSeparator" w:id="0">
    <w:p w:rsidR="004A0A3E" w:rsidRDefault="004A0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3E" w:rsidRPr="00EE0810" w:rsidRDefault="004A0A3E" w:rsidP="00EE0810">
    <w:pPr>
      <w:pStyle w:val="APAPageHeading"/>
    </w:pPr>
    <w:r>
      <w:t>FRAILTY</w:t>
    </w:r>
    <w:r>
      <w:tab/>
    </w:r>
    <w:r w:rsidR="006F023A">
      <w:fldChar w:fldCharType="begin"/>
    </w:r>
    <w:r>
      <w:instrText xml:space="preserve"> PAGE  \* MERGEFORMAT </w:instrText>
    </w:r>
    <w:r w:rsidR="006F023A">
      <w:fldChar w:fldCharType="separate"/>
    </w:r>
    <w:r w:rsidR="003E7CED">
      <w:rPr>
        <w:noProof/>
      </w:rPr>
      <w:t>3</w:t>
    </w:r>
    <w:r w:rsidR="006F023A">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3E" w:rsidRPr="00EE0810" w:rsidRDefault="004A0A3E" w:rsidP="00EE0810">
    <w:pPr>
      <w:pStyle w:val="APAPageHeading"/>
    </w:pPr>
    <w:r>
      <w:t>Running head: FRAILTY</w:t>
    </w:r>
    <w:r>
      <w:tab/>
    </w:r>
    <w:r w:rsidR="006F023A">
      <w:fldChar w:fldCharType="begin"/>
    </w:r>
    <w:r>
      <w:instrText xml:space="preserve"> PAGE  \* MERGEFORMAT </w:instrText>
    </w:r>
    <w:r w:rsidR="006F023A">
      <w:fldChar w:fldCharType="separate"/>
    </w:r>
    <w:r w:rsidR="003E7CED">
      <w:rPr>
        <w:noProof/>
      </w:rPr>
      <w:t>1</w:t>
    </w:r>
    <w:r w:rsidR="006F023A">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3E" w:rsidRPr="00EE0810" w:rsidRDefault="004A0A3E" w:rsidP="00EE0810">
    <w:pPr>
      <w:pStyle w:val="APAPageHeading"/>
    </w:pPr>
    <w:r>
      <w:t>FRAILTY</w:t>
    </w:r>
    <w:r>
      <w:tab/>
    </w:r>
    <w:r w:rsidR="006F023A">
      <w:fldChar w:fldCharType="begin"/>
    </w:r>
    <w:r>
      <w:instrText xml:space="preserve"> PAGE  \* MERGEFORMAT </w:instrText>
    </w:r>
    <w:r w:rsidR="006F023A">
      <w:fldChar w:fldCharType="separate"/>
    </w:r>
    <w:r w:rsidR="003E7CED">
      <w:rPr>
        <w:noProof/>
      </w:rPr>
      <w:t>2</w:t>
    </w:r>
    <w:r w:rsidR="006F023A">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587868981482I0" w:val="*1,60˜11Sara~E~Espinoza~Linda~P~Fried~˜12032007˜2331˜1241June˜13Risk factors for frailty in the older adult˜16Clinical Geriatrics˜2681˜18615˜211˜1816˜2711˜116337-44˜21751˜2690˜1196˜1141http://www.imsersomayores.csic.es/documentos/boletin/2007/numero-52/art-07-07-01.pdf˜"/>
    <w:docVar w:name="409588118865741I0" w:val="*1,60˜11E~Paul~Cherniack~Hermes~J~Florez~Bruce~R~Troen~˜12032007˜2331˜1241September˜13Emerging therapies to treat frailty syndrome in the elderly˜16Alternative Medicine Review˜2680˜186˜21˜181˜2710˜1163˜21751˜2690˜1196˜1141http://www.findarticles.com˜"/>
    <w:docVar w:name="409588263888889I0" w:val="*1,262˜11Lazelle~E~Benefield~Rachel~L~Higbee~˜12032007˜13Frailty and its implications for care˜2700˜1112February 19, 2012˜112http://consultgerirn.org/topics/frailty_and_its_implications_for_care_new/want_to_know_more˜"/>
    <w:docVar w:name="409588513078704I0" w:val="*1,60˜11Douglas~E~Crews~Susan~~Zavotka~˜12032006˜2330˜1241˜13Aging, disability, and frailty: implications for universal design˜16Journal of Physiological Anthropology˜2681˜18625˜211˜181˜2711˜1163113-118˜21751˜2690˜1196˜1141http://www.sld.cu˜"/>
    <w:docVar w:name="bmHeaderInfo" w:val="FRAILTY"/>
    <w:docVar w:name="cIsAbstract" w:val="False"/>
    <w:docVar w:name="cPaperAPAOrMLA" w:val="1"/>
    <w:docVar w:name="cUniquePaperID" w:val="409578646990741I0"/>
    <w:docVar w:name="LastEditedVersion" w:val="5"/>
  </w:docVars>
  <w:rsids>
    <w:rsidRoot w:val="00EE0810"/>
    <w:rsid w:val="000022DA"/>
    <w:rsid w:val="00003776"/>
    <w:rsid w:val="00004A0E"/>
    <w:rsid w:val="0000704A"/>
    <w:rsid w:val="0000750F"/>
    <w:rsid w:val="000100C0"/>
    <w:rsid w:val="00011136"/>
    <w:rsid w:val="00011189"/>
    <w:rsid w:val="00011D84"/>
    <w:rsid w:val="0001296A"/>
    <w:rsid w:val="00013627"/>
    <w:rsid w:val="00015FF1"/>
    <w:rsid w:val="0001685B"/>
    <w:rsid w:val="0002073C"/>
    <w:rsid w:val="00023D64"/>
    <w:rsid w:val="00024E98"/>
    <w:rsid w:val="00025FAC"/>
    <w:rsid w:val="00031745"/>
    <w:rsid w:val="000323AD"/>
    <w:rsid w:val="00033E75"/>
    <w:rsid w:val="00034E5C"/>
    <w:rsid w:val="00035FF6"/>
    <w:rsid w:val="00040203"/>
    <w:rsid w:val="000428F1"/>
    <w:rsid w:val="00042DB8"/>
    <w:rsid w:val="00043377"/>
    <w:rsid w:val="000455A3"/>
    <w:rsid w:val="00045BCD"/>
    <w:rsid w:val="000466E9"/>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351"/>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0B3"/>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B6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771E7"/>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44B"/>
    <w:rsid w:val="0023071D"/>
    <w:rsid w:val="00231560"/>
    <w:rsid w:val="00231A5D"/>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419"/>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3D88"/>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5CAC"/>
    <w:rsid w:val="00326614"/>
    <w:rsid w:val="00326D13"/>
    <w:rsid w:val="00326D6C"/>
    <w:rsid w:val="003338CD"/>
    <w:rsid w:val="00333982"/>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0DC2"/>
    <w:rsid w:val="00362C66"/>
    <w:rsid w:val="00363A1E"/>
    <w:rsid w:val="00365594"/>
    <w:rsid w:val="003661C5"/>
    <w:rsid w:val="00366DC6"/>
    <w:rsid w:val="003672F8"/>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285"/>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E7CED"/>
    <w:rsid w:val="003F04D1"/>
    <w:rsid w:val="003F27CE"/>
    <w:rsid w:val="003F4B43"/>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255D6"/>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57E3B"/>
    <w:rsid w:val="004614B1"/>
    <w:rsid w:val="0046282B"/>
    <w:rsid w:val="004635B0"/>
    <w:rsid w:val="00467BB2"/>
    <w:rsid w:val="0047130D"/>
    <w:rsid w:val="00471E6D"/>
    <w:rsid w:val="0047205B"/>
    <w:rsid w:val="004728E1"/>
    <w:rsid w:val="00475151"/>
    <w:rsid w:val="00476096"/>
    <w:rsid w:val="00480D65"/>
    <w:rsid w:val="00480F4F"/>
    <w:rsid w:val="00483822"/>
    <w:rsid w:val="00483918"/>
    <w:rsid w:val="00490673"/>
    <w:rsid w:val="00490F0A"/>
    <w:rsid w:val="004912A6"/>
    <w:rsid w:val="00491C36"/>
    <w:rsid w:val="00496A04"/>
    <w:rsid w:val="00497A70"/>
    <w:rsid w:val="004A0428"/>
    <w:rsid w:val="004A0A3E"/>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340"/>
    <w:rsid w:val="00503E10"/>
    <w:rsid w:val="005101E4"/>
    <w:rsid w:val="0051076B"/>
    <w:rsid w:val="005118A0"/>
    <w:rsid w:val="0051203B"/>
    <w:rsid w:val="005141AC"/>
    <w:rsid w:val="00514423"/>
    <w:rsid w:val="005145F2"/>
    <w:rsid w:val="005163B7"/>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C5AE0"/>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557A"/>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0F54"/>
    <w:rsid w:val="006D6792"/>
    <w:rsid w:val="006D6B14"/>
    <w:rsid w:val="006E1D3F"/>
    <w:rsid w:val="006E24E7"/>
    <w:rsid w:val="006E2BA6"/>
    <w:rsid w:val="006E2F3E"/>
    <w:rsid w:val="006E636D"/>
    <w:rsid w:val="006E702D"/>
    <w:rsid w:val="006E71A1"/>
    <w:rsid w:val="006E750E"/>
    <w:rsid w:val="006E7FFA"/>
    <w:rsid w:val="006F023A"/>
    <w:rsid w:val="006F04DE"/>
    <w:rsid w:val="006F1C63"/>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60F5"/>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071B"/>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177C"/>
    <w:rsid w:val="00783E25"/>
    <w:rsid w:val="0078460B"/>
    <w:rsid w:val="00785077"/>
    <w:rsid w:val="0078524B"/>
    <w:rsid w:val="0078570A"/>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2E6"/>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1489"/>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235"/>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36EDF"/>
    <w:rsid w:val="00840B54"/>
    <w:rsid w:val="00842C30"/>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2B98"/>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A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0F94"/>
    <w:rsid w:val="009712EB"/>
    <w:rsid w:val="0097213F"/>
    <w:rsid w:val="00973CE0"/>
    <w:rsid w:val="00977AE3"/>
    <w:rsid w:val="009801F4"/>
    <w:rsid w:val="00980C27"/>
    <w:rsid w:val="00981506"/>
    <w:rsid w:val="009826B5"/>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2DDF"/>
    <w:rsid w:val="00A0464C"/>
    <w:rsid w:val="00A05264"/>
    <w:rsid w:val="00A06D86"/>
    <w:rsid w:val="00A077FE"/>
    <w:rsid w:val="00A107CD"/>
    <w:rsid w:val="00A10FF1"/>
    <w:rsid w:val="00A13649"/>
    <w:rsid w:val="00A136A8"/>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E7F61"/>
    <w:rsid w:val="00AF2AB9"/>
    <w:rsid w:val="00AF2C1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5F2"/>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3A20"/>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305"/>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3F67"/>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5C4D"/>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62B"/>
    <w:rsid w:val="00D21857"/>
    <w:rsid w:val="00D225EF"/>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C93"/>
    <w:rsid w:val="00D41191"/>
    <w:rsid w:val="00D43C0D"/>
    <w:rsid w:val="00D44E49"/>
    <w:rsid w:val="00D45F2B"/>
    <w:rsid w:val="00D46F2B"/>
    <w:rsid w:val="00D477D9"/>
    <w:rsid w:val="00D52396"/>
    <w:rsid w:val="00D52688"/>
    <w:rsid w:val="00D53117"/>
    <w:rsid w:val="00D53149"/>
    <w:rsid w:val="00D570D4"/>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0933"/>
    <w:rsid w:val="00DA26BF"/>
    <w:rsid w:val="00DA2C59"/>
    <w:rsid w:val="00DA3BC3"/>
    <w:rsid w:val="00DA49E0"/>
    <w:rsid w:val="00DA5739"/>
    <w:rsid w:val="00DB3220"/>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1BE6"/>
    <w:rsid w:val="00E129AC"/>
    <w:rsid w:val="00E14145"/>
    <w:rsid w:val="00E14295"/>
    <w:rsid w:val="00E145EC"/>
    <w:rsid w:val="00E148D4"/>
    <w:rsid w:val="00E14E11"/>
    <w:rsid w:val="00E162A6"/>
    <w:rsid w:val="00E16D7E"/>
    <w:rsid w:val="00E174D9"/>
    <w:rsid w:val="00E227F7"/>
    <w:rsid w:val="00E2370B"/>
    <w:rsid w:val="00E261BC"/>
    <w:rsid w:val="00E3141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45B3"/>
    <w:rsid w:val="00E8609A"/>
    <w:rsid w:val="00E86957"/>
    <w:rsid w:val="00E90C0F"/>
    <w:rsid w:val="00E91642"/>
    <w:rsid w:val="00E950B5"/>
    <w:rsid w:val="00E95487"/>
    <w:rsid w:val="00E95811"/>
    <w:rsid w:val="00E974F5"/>
    <w:rsid w:val="00EA2E28"/>
    <w:rsid w:val="00EA42C7"/>
    <w:rsid w:val="00EA61D8"/>
    <w:rsid w:val="00EA6561"/>
    <w:rsid w:val="00EB0B0A"/>
    <w:rsid w:val="00EB2024"/>
    <w:rsid w:val="00EB39E9"/>
    <w:rsid w:val="00EB3A48"/>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810"/>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56E1"/>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23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023A"/>
    <w:pPr>
      <w:tabs>
        <w:tab w:val="center" w:pos="4320"/>
        <w:tab w:val="right" w:pos="8640"/>
      </w:tabs>
    </w:pPr>
  </w:style>
  <w:style w:type="paragraph" w:customStyle="1" w:styleId="APA">
    <w:name w:val="APA"/>
    <w:basedOn w:val="BodyText"/>
    <w:rsid w:val="006F023A"/>
    <w:pPr>
      <w:spacing w:after="0" w:line="480" w:lineRule="auto"/>
      <w:ind w:firstLine="720"/>
    </w:pPr>
    <w:rPr>
      <w:sz w:val="24"/>
    </w:rPr>
  </w:style>
  <w:style w:type="paragraph" w:styleId="BodyText">
    <w:name w:val="Body Text"/>
    <w:basedOn w:val="Normal"/>
    <w:rsid w:val="006F023A"/>
    <w:pPr>
      <w:spacing w:after="120"/>
    </w:pPr>
  </w:style>
  <w:style w:type="paragraph" w:styleId="Footer">
    <w:name w:val="footer"/>
    <w:basedOn w:val="Normal"/>
    <w:rsid w:val="006F023A"/>
    <w:pPr>
      <w:tabs>
        <w:tab w:val="center" w:pos="4320"/>
        <w:tab w:val="right" w:pos="8640"/>
      </w:tabs>
    </w:pPr>
  </w:style>
  <w:style w:type="character" w:styleId="PageNumber">
    <w:name w:val="page number"/>
    <w:basedOn w:val="DefaultParagraphFont"/>
    <w:rsid w:val="006F023A"/>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6F023A"/>
    <w:pPr>
      <w:ind w:left="720" w:firstLine="0"/>
    </w:pPr>
  </w:style>
  <w:style w:type="paragraph" w:customStyle="1" w:styleId="APABlockQuoteSubsequentPara">
    <w:name w:val="APA Block Quote Subsequent Para"/>
    <w:basedOn w:val="APA"/>
    <w:next w:val="APA"/>
    <w:rsid w:val="006F023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F023A"/>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F023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F524A-BB93-412A-934B-B1BA0F68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823</Words>
  <Characters>5040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5852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Sydney Bailey</dc:creator>
  <cp:lastModifiedBy>Mary</cp:lastModifiedBy>
  <cp:revision>2</cp:revision>
  <dcterms:created xsi:type="dcterms:W3CDTF">2012-02-25T23:12:00Z</dcterms:created>
  <dcterms:modified xsi:type="dcterms:W3CDTF">2012-02-25T23:12:00Z</dcterms:modified>
</cp:coreProperties>
</file>