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1A9" w:rsidRDefault="00CB71A9"/>
    <w:p w:rsidR="008D5C37" w:rsidRDefault="008D5C37"/>
    <w:p w:rsidR="008D5C37" w:rsidRDefault="008D5C37" w:rsidP="00BB6ADB">
      <w:pPr>
        <w:spacing w:line="480" w:lineRule="auto"/>
      </w:pPr>
    </w:p>
    <w:p w:rsidR="008D5C37" w:rsidRDefault="008D5C37"/>
    <w:p w:rsidR="00BB6ADB" w:rsidRDefault="00BB6ADB" w:rsidP="008D5C37">
      <w:pPr>
        <w:spacing w:line="480" w:lineRule="auto"/>
      </w:pPr>
    </w:p>
    <w:p w:rsidR="00BB6ADB" w:rsidRDefault="00BB6ADB" w:rsidP="008D5C37">
      <w:pPr>
        <w:spacing w:line="480" w:lineRule="auto"/>
      </w:pPr>
    </w:p>
    <w:p w:rsidR="008D5C37" w:rsidRDefault="008D5C37" w:rsidP="008D5C37">
      <w:pPr>
        <w:spacing w:line="480" w:lineRule="auto"/>
      </w:pPr>
    </w:p>
    <w:p w:rsidR="008D5C37" w:rsidRDefault="008D5C37" w:rsidP="008D5C37">
      <w:pPr>
        <w:spacing w:line="480" w:lineRule="auto"/>
        <w:jc w:val="center"/>
      </w:pPr>
      <w:r>
        <w:t>Nursing Research Assignment Week Two</w:t>
      </w:r>
    </w:p>
    <w:p w:rsidR="008D5C37" w:rsidRDefault="008D5C37" w:rsidP="008D5C37">
      <w:pPr>
        <w:spacing w:line="480" w:lineRule="auto"/>
        <w:jc w:val="center"/>
      </w:pPr>
      <w:r>
        <w:t>Shannon Roulo</w:t>
      </w:r>
    </w:p>
    <w:p w:rsidR="008D5C37" w:rsidRDefault="008D5C37" w:rsidP="008D5C37">
      <w:pPr>
        <w:spacing w:line="480" w:lineRule="auto"/>
        <w:jc w:val="center"/>
      </w:pPr>
      <w:r>
        <w:t xml:space="preserve">Lakeview College of Nursing </w:t>
      </w:r>
    </w:p>
    <w:p w:rsidR="00FD067B" w:rsidRDefault="00FD067B" w:rsidP="008D5C37">
      <w:pPr>
        <w:spacing w:line="480" w:lineRule="auto"/>
        <w:jc w:val="center"/>
      </w:pPr>
      <w:r>
        <w:t>N302</w:t>
      </w:r>
    </w:p>
    <w:p w:rsidR="00FD067B" w:rsidRDefault="00FD067B" w:rsidP="008D5C37">
      <w:pPr>
        <w:spacing w:line="480" w:lineRule="auto"/>
        <w:jc w:val="center"/>
      </w:pPr>
      <w:r>
        <w:t>May 23, 2010</w:t>
      </w:r>
    </w:p>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A77BA9" w:rsidRDefault="00A77BA9" w:rsidP="00A77BA9">
      <w:pPr>
        <w:jc w:val="center"/>
      </w:pPr>
    </w:p>
    <w:p w:rsidR="00BB6ADB" w:rsidRDefault="00BB6ADB" w:rsidP="00A77BA9">
      <w:pPr>
        <w:jc w:val="center"/>
      </w:pPr>
    </w:p>
    <w:p w:rsidR="00BB6ADB" w:rsidRDefault="00BB6ADB" w:rsidP="00A77BA9">
      <w:pPr>
        <w:jc w:val="center"/>
      </w:pPr>
    </w:p>
    <w:p w:rsidR="00BB6ADB" w:rsidRDefault="00BB6ADB" w:rsidP="00A77BA9">
      <w:pPr>
        <w:jc w:val="center"/>
      </w:pPr>
    </w:p>
    <w:p w:rsidR="00BB6ADB" w:rsidRDefault="00BB6ADB" w:rsidP="00A77BA9">
      <w:pPr>
        <w:jc w:val="center"/>
      </w:pPr>
    </w:p>
    <w:p w:rsidR="008D5C37" w:rsidRDefault="00151993" w:rsidP="00A77BA9">
      <w:pPr>
        <w:jc w:val="center"/>
      </w:pPr>
      <w:r>
        <w:t xml:space="preserve">Nursing Research Assignment Week Two </w:t>
      </w:r>
    </w:p>
    <w:p w:rsidR="00A77BA9" w:rsidRDefault="00A77BA9" w:rsidP="00A77BA9">
      <w:pPr>
        <w:jc w:val="center"/>
      </w:pPr>
    </w:p>
    <w:p w:rsidR="00CF38C9" w:rsidRPr="00904AB7" w:rsidRDefault="00464FC4" w:rsidP="00B83D27">
      <w:pPr>
        <w:pStyle w:val="ListParagraph"/>
        <w:numPr>
          <w:ilvl w:val="0"/>
          <w:numId w:val="2"/>
        </w:numPr>
        <w:spacing w:line="480" w:lineRule="auto"/>
        <w:rPr>
          <w:highlight w:val="green"/>
        </w:rPr>
      </w:pPr>
      <w:r>
        <w:t>Winland-Brown</w:t>
      </w:r>
      <w:r w:rsidR="003C08EE">
        <w:t>’s research</w:t>
      </w:r>
      <w:r w:rsidR="00CF38C9">
        <w:t xml:space="preserve"> article </w:t>
      </w:r>
      <w:r w:rsidR="003C08EE">
        <w:t>is</w:t>
      </w:r>
      <w:r w:rsidR="00151993">
        <w:t xml:space="preserve"> a phe</w:t>
      </w:r>
      <w:r>
        <w:t>nomenological study and</w:t>
      </w:r>
      <w:r w:rsidR="003C08EE">
        <w:t xml:space="preserve"> serves</w:t>
      </w:r>
      <w:r w:rsidR="00151993">
        <w:t xml:space="preserve"> the purpose of looking f</w:t>
      </w:r>
      <w:r>
        <w:t xml:space="preserve">or patterns in beliefs amongst </w:t>
      </w:r>
      <w:r w:rsidR="003C08EE">
        <w:t>two</w:t>
      </w:r>
      <w:r w:rsidR="00151993">
        <w:t xml:space="preserve"> long debated and controver</w:t>
      </w:r>
      <w:r w:rsidR="00B83D27">
        <w:t>sial issue</w:t>
      </w:r>
      <w:r>
        <w:t>s</w:t>
      </w:r>
      <w:r w:rsidR="00B83D27">
        <w:t xml:space="preserve">, </w:t>
      </w:r>
      <w:r>
        <w:t xml:space="preserve">“good death” and </w:t>
      </w:r>
      <w:r w:rsidR="00B83D27">
        <w:t>assisted suicide</w:t>
      </w:r>
      <w:r w:rsidR="00CF38C9">
        <w:t xml:space="preserve"> (as cited in Peteva, 2008, p.198)</w:t>
      </w:r>
      <w:r w:rsidR="00B83D27">
        <w:t xml:space="preserve">.  </w:t>
      </w:r>
      <w:r w:rsidR="00CF38C9" w:rsidRPr="00904AB7">
        <w:rPr>
          <w:strike/>
          <w:highlight w:val="red"/>
        </w:rPr>
        <w:t>According to t</w:t>
      </w:r>
      <w:r w:rsidR="00151993" w:rsidRPr="00904AB7">
        <w:rPr>
          <w:strike/>
          <w:highlight w:val="red"/>
        </w:rPr>
        <w:t>he Stanford Encyclopedia of Philosophy (2003</w:t>
      </w:r>
      <w:r w:rsidR="00CF38C9" w:rsidRPr="00904AB7">
        <w:rPr>
          <w:strike/>
          <w:highlight w:val="red"/>
        </w:rPr>
        <w:t>)</w:t>
      </w:r>
      <w:r w:rsidR="00CF38C9">
        <w:t xml:space="preserve"> </w:t>
      </w:r>
      <w:r w:rsidR="00904AB7" w:rsidRPr="00904AB7">
        <w:rPr>
          <w:highlight w:val="green"/>
        </w:rPr>
        <w:t>P</w:t>
      </w:r>
      <w:r w:rsidR="00151993">
        <w:t>henomenology is the study of structures of consciousness</w:t>
      </w:r>
      <w:r w:rsidR="00CF38C9">
        <w:t>,</w:t>
      </w:r>
      <w:r w:rsidR="00151993">
        <w:t xml:space="preserve"> as experienced from t</w:t>
      </w:r>
      <w:r w:rsidR="00CF38C9">
        <w:t>he first person point of view</w:t>
      </w:r>
      <w:r w:rsidR="00904AB7">
        <w:t xml:space="preserve"> </w:t>
      </w:r>
      <w:r w:rsidR="00904AB7" w:rsidRPr="00904AB7">
        <w:rPr>
          <w:highlight w:val="green"/>
        </w:rPr>
        <w:t>(Phenomenology, 2003)</w:t>
      </w:r>
      <w:r w:rsidR="00CF38C9" w:rsidRPr="00904AB7">
        <w:rPr>
          <w:highlight w:val="green"/>
        </w:rPr>
        <w:t>.</w:t>
      </w:r>
      <w:r w:rsidR="00CF38C9">
        <w:t xml:space="preserve"> It is the belief of this author that the study served this purpose by examining the thoughts of others with a questionnaire, allowing them to utilize the first person point of view.</w:t>
      </w:r>
      <w:r w:rsidR="00904AB7">
        <w:t xml:space="preserve"> I didn’t deduct anything for this. </w:t>
      </w:r>
      <w:r w:rsidR="00904AB7" w:rsidRPr="00904AB7">
        <w:rPr>
          <w:highlight w:val="green"/>
        </w:rPr>
        <w:t>Do you see how a citation, whether within the text or within parentheses, needs to be exactly as the reference entry?</w:t>
      </w:r>
    </w:p>
    <w:p w:rsidR="009158BF" w:rsidRDefault="00CF38C9" w:rsidP="00CF38C9">
      <w:pPr>
        <w:pStyle w:val="ListParagraph"/>
        <w:spacing w:line="480" w:lineRule="auto"/>
        <w:ind w:left="1080" w:firstLine="360"/>
      </w:pPr>
      <w:r>
        <w:t xml:space="preserve"> </w:t>
      </w:r>
      <w:r w:rsidR="00151993">
        <w:t xml:space="preserve">The design of the study </w:t>
      </w:r>
      <w:r w:rsidR="005A3C1F">
        <w:t xml:space="preserve">is qualitative, because of the subjectivity and lack of actual measurement. </w:t>
      </w:r>
      <w:r w:rsidR="00B83D27">
        <w:t xml:space="preserve"> Qualitative research has the goal of categorizing and conceptualizing data and relationships into themes (Macnee &amp; McCabe, 2008, p. 72)</w:t>
      </w:r>
    </w:p>
    <w:p w:rsidR="009158BF" w:rsidRPr="00CF38C9" w:rsidRDefault="00CF38C9" w:rsidP="00034A1B">
      <w:pPr>
        <w:pStyle w:val="ListParagraph"/>
        <w:numPr>
          <w:ilvl w:val="0"/>
          <w:numId w:val="2"/>
        </w:numPr>
        <w:spacing w:line="480" w:lineRule="auto"/>
      </w:pPr>
      <w:r>
        <w:t>In the Winland-Brown study, two</w:t>
      </w:r>
      <w:r w:rsidR="009158BF">
        <w:t xml:space="preserve"> research qu</w:t>
      </w:r>
      <w:r>
        <w:t>estions were posed</w:t>
      </w:r>
      <w:r w:rsidR="009158BF">
        <w:t>.  The first being “What constitutes a good death?”  The second question asked “If you had a terminal disease and were in pain, would you consider assisted suicide?”</w:t>
      </w:r>
      <w:r w:rsidR="00464FC4">
        <w:t xml:space="preserve"> </w:t>
      </w:r>
      <w:r w:rsidR="00464FC4" w:rsidRPr="00CF38C9">
        <w:t>(as cited in Peteva, 2008, pp. 198-199).</w:t>
      </w:r>
      <w:r>
        <w:t xml:space="preserve">  </w:t>
      </w:r>
      <w:r w:rsidR="009158BF">
        <w:t xml:space="preserve">The participants were instructed to answer thoroughly, sharing everything they could in regards to thoughts, perceptions, and feelings until they had nothing left to say.  </w:t>
      </w:r>
      <w:r>
        <w:t>Winland-Brown</w:t>
      </w:r>
      <w:r w:rsidR="00542221">
        <w:t>’</w:t>
      </w:r>
      <w:r>
        <w:t>s research sought</w:t>
      </w:r>
      <w:r w:rsidR="002610D5">
        <w:t xml:space="preserve"> to find common patterns amongst these people in regards to </w:t>
      </w:r>
      <w:r w:rsidR="005610A8">
        <w:t xml:space="preserve">what conditions people find dying acceptable and whether or not specific circumstances permit use of </w:t>
      </w:r>
      <w:r>
        <w:t>assisted suicide</w:t>
      </w:r>
      <w:r w:rsidR="00034A1B">
        <w:t xml:space="preserve"> to experience a “good death</w:t>
      </w:r>
      <w:r w:rsidR="005610A8">
        <w:t xml:space="preserve">” </w:t>
      </w:r>
      <w:r w:rsidR="00034A1B" w:rsidRPr="00CF38C9">
        <w:t xml:space="preserve">(as cited in Peteva, 2008, pp. 198-199).  </w:t>
      </w:r>
    </w:p>
    <w:p w:rsidR="002A3D13" w:rsidRDefault="009158BF" w:rsidP="000C4BA7">
      <w:pPr>
        <w:pStyle w:val="ListParagraph"/>
        <w:numPr>
          <w:ilvl w:val="0"/>
          <w:numId w:val="2"/>
        </w:numPr>
        <w:spacing w:line="480" w:lineRule="auto"/>
      </w:pPr>
      <w:r>
        <w:lastRenderedPageBreak/>
        <w:t>In regards to</w:t>
      </w:r>
      <w:r w:rsidR="00CF38C9">
        <w:t xml:space="preserve"> the sample used for this study, Winland-Brown’s </w:t>
      </w:r>
      <w:r>
        <w:t>participants consisted of 12 adults (</w:t>
      </w:r>
      <w:r w:rsidRPr="00904AB7">
        <w:rPr>
          <w:highlight w:val="red"/>
        </w:rPr>
        <w:t>7</w:t>
      </w:r>
      <w:r>
        <w:t xml:space="preserve"> women and </w:t>
      </w:r>
      <w:r w:rsidRPr="00904AB7">
        <w:rPr>
          <w:highlight w:val="red"/>
        </w:rPr>
        <w:t>5</w:t>
      </w:r>
      <w:r>
        <w:t xml:space="preserve"> men) all between the ages of 24 and 63</w:t>
      </w:r>
      <w:r w:rsidR="00CF38C9">
        <w:t>;</w:t>
      </w:r>
      <w:r>
        <w:t xml:space="preserve"> the mean age </w:t>
      </w:r>
      <w:r w:rsidR="00CF38C9">
        <w:t>was</w:t>
      </w:r>
      <w:r>
        <w:t xml:space="preserve"> 42 years</w:t>
      </w:r>
      <w:r w:rsidR="00034A1B">
        <w:t xml:space="preserve"> old. </w:t>
      </w:r>
      <w:r w:rsidR="009110F4">
        <w:t>The participants were volunteers</w:t>
      </w:r>
      <w:r w:rsidR="006E01F2">
        <w:t xml:space="preserve"> </w:t>
      </w:r>
      <w:r>
        <w:t>and found out about the research through a word of mouth process.</w:t>
      </w:r>
      <w:r w:rsidR="00CF38C9">
        <w:t xml:space="preserve"> Research subject race fell into two categories, with the primary </w:t>
      </w:r>
      <w:r w:rsidR="002A3D13">
        <w:t>race being Caucasian. Two African Americans were amongst the participants.</w:t>
      </w:r>
      <w:r>
        <w:t xml:space="preserve"> </w:t>
      </w:r>
      <w:r w:rsidR="00034A1B">
        <w:t xml:space="preserve"> </w:t>
      </w:r>
      <w:r w:rsidR="002610D5">
        <w:t>Education levels ranged in the group from high school graduates through a PhD in engineering; none of the participants had a background in a health-care related field.  All participants remain anonymous, but are referred to as John and Mary Q. Public, so their viewpoints can b</w:t>
      </w:r>
      <w:r w:rsidR="00B8536E">
        <w:t xml:space="preserve">e discussed within the article; </w:t>
      </w:r>
      <w:r w:rsidR="005610A8">
        <w:t xml:space="preserve">the sample consisted of primarily Caucasian population, with </w:t>
      </w:r>
      <w:r w:rsidR="00034A1B" w:rsidRPr="00904AB7">
        <w:rPr>
          <w:highlight w:val="red"/>
        </w:rPr>
        <w:t>2</w:t>
      </w:r>
      <w:r w:rsidR="005610A8">
        <w:t xml:space="preserve"> African Americans</w:t>
      </w:r>
      <w:r w:rsidR="00B8536E">
        <w:t>.</w:t>
      </w:r>
      <w:r w:rsidR="00034A1B">
        <w:t xml:space="preserve"> </w:t>
      </w:r>
      <w:r w:rsidR="00034A1B" w:rsidRPr="002A3D13">
        <w:t>(as cit</w:t>
      </w:r>
      <w:r w:rsidR="00B8536E">
        <w:t>ed in Peteva, 2008, p. 198</w:t>
      </w:r>
      <w:r w:rsidR="00B8536E" w:rsidRPr="00904AB7">
        <w:rPr>
          <w:highlight w:val="red"/>
        </w:rPr>
        <w:t>,</w:t>
      </w:r>
      <w:r w:rsidR="00B8536E">
        <w:t xml:space="preserve"> 203)</w:t>
      </w:r>
      <w:r w:rsidR="002610D5">
        <w:t xml:space="preserve"> </w:t>
      </w:r>
      <w:r w:rsidR="005610A8">
        <w:t xml:space="preserve">Given the small sample study and lack of even mix of people as far as gender and race is concerned, it </w:t>
      </w:r>
      <w:r w:rsidR="00034A1B">
        <w:t>might</w:t>
      </w:r>
      <w:r w:rsidR="005610A8">
        <w:t xml:space="preserve"> be concluded that this sample size does not permit any proven relevance to the scientific com</w:t>
      </w:r>
      <w:r w:rsidR="006E01F2">
        <w:t>munity.</w:t>
      </w:r>
      <w:r w:rsidR="002A3D13">
        <w:t xml:space="preserve"> While the research shows potential with its promising theme patterns, this author believes a more diverse population needs to be utilized for it to warrant merit.</w:t>
      </w:r>
      <w:r w:rsidR="006E01F2">
        <w:t xml:space="preserve">  </w:t>
      </w:r>
    </w:p>
    <w:p w:rsidR="005610A8" w:rsidRPr="00B8536E" w:rsidRDefault="002A3D13" w:rsidP="00034A1B">
      <w:pPr>
        <w:pStyle w:val="ListParagraph"/>
        <w:numPr>
          <w:ilvl w:val="0"/>
          <w:numId w:val="2"/>
        </w:numPr>
        <w:spacing w:line="480" w:lineRule="auto"/>
      </w:pPr>
      <w:r>
        <w:t>Winland-Brown’s research took precautions with the informed consent. T</w:t>
      </w:r>
      <w:r w:rsidR="005610A8">
        <w:t>he informed consent process used by the researchers protected t</w:t>
      </w:r>
      <w:r>
        <w:t>he identity of each participant.  Not only were names changed to John and Mary Q. Public to represent all male and female participants, but consent forms were removed from the questionnaire</w:t>
      </w:r>
      <w:r w:rsidR="00B8536E">
        <w:t xml:space="preserve"> (as cited in Peteva, 2008, pp. 198-199)</w:t>
      </w:r>
      <w:r>
        <w:t>. Removing the consent form from the questionnaire served to further prevent hand writing recognition</w:t>
      </w:r>
      <w:r w:rsidR="005610A8">
        <w:t xml:space="preserve"> as well</w:t>
      </w:r>
      <w:r>
        <w:t xml:space="preserve"> identification an individual with the signed consent originally attached to their questionnaire. </w:t>
      </w:r>
      <w:r w:rsidR="00B8536E">
        <w:t xml:space="preserve">This research </w:t>
      </w:r>
      <w:r w:rsidR="009110F4">
        <w:lastRenderedPageBreak/>
        <w:t>process was approved by the Human Subjects Review Committee of the Institutional Review Board at Florida Atlantic University</w:t>
      </w:r>
      <w:r w:rsidR="00B8536E">
        <w:t>.</w:t>
      </w:r>
      <w:r w:rsidR="00034A1B" w:rsidRPr="002A3D13">
        <w:rPr>
          <w:b/>
        </w:rPr>
        <w:t xml:space="preserve"> </w:t>
      </w:r>
      <w:r w:rsidR="00034A1B" w:rsidRPr="002A3D13">
        <w:t>(</w:t>
      </w:r>
      <w:r w:rsidR="00034A1B" w:rsidRPr="00B8536E">
        <w:t>as cited in Peteva, 2008, pp. 198-199)</w:t>
      </w:r>
      <w:r w:rsidR="00E03B7B" w:rsidRPr="00B8536E">
        <w:t xml:space="preserve"> </w:t>
      </w:r>
    </w:p>
    <w:p w:rsidR="000C4BA7" w:rsidRDefault="009F10AB" w:rsidP="00034A1B">
      <w:pPr>
        <w:pStyle w:val="ListParagraph"/>
        <w:numPr>
          <w:ilvl w:val="0"/>
          <w:numId w:val="2"/>
        </w:numPr>
        <w:spacing w:line="480" w:lineRule="auto"/>
      </w:pPr>
      <w:r>
        <w:t>No</w:t>
      </w:r>
      <w:r w:rsidR="00262482">
        <w:t>, as the author of this paper, I</w:t>
      </w:r>
      <w:r w:rsidR="000C4BA7">
        <w:t xml:space="preserve"> </w:t>
      </w:r>
      <w:r>
        <w:t xml:space="preserve">do not </w:t>
      </w:r>
      <w:r w:rsidR="000C4BA7">
        <w:t>co</w:t>
      </w:r>
      <w:r>
        <w:t xml:space="preserve">nsider this a scientific study. </w:t>
      </w:r>
      <w:r w:rsidR="000C4BA7">
        <w:t>While</w:t>
      </w:r>
      <w:r w:rsidR="00262482">
        <w:t xml:space="preserve"> I believe</w:t>
      </w:r>
      <w:r w:rsidR="000C4BA7">
        <w:t xml:space="preserve"> this study lacked in proper </w:t>
      </w:r>
      <w:r>
        <w:t xml:space="preserve">statistical analysis and </w:t>
      </w:r>
      <w:r w:rsidR="000C4BA7">
        <w:t>diversity for</w:t>
      </w:r>
      <w:r w:rsidR="00356F04">
        <w:t xml:space="preserve"> the sample demographics, it does</w:t>
      </w:r>
      <w:r w:rsidR="00034A1B">
        <w:t xml:space="preserve"> pose</w:t>
      </w:r>
      <w:r w:rsidR="000C4BA7">
        <w:t xml:space="preserve"> relevance to the psychology and medical field.  If properly set up, it </w:t>
      </w:r>
      <w:r w:rsidR="00034A1B">
        <w:t>is the belief of this author that this study has the potential to</w:t>
      </w:r>
      <w:r w:rsidR="000C4BA7">
        <w:t xml:space="preserve"> become a scientific research project for psychiatry departments or even neuropsychology and medicine (for example they may chose to analyze which parts of the brain respond to such deep questions regarding mortality and pain).  </w:t>
      </w:r>
      <w:r w:rsidR="00262482">
        <w:t>Winland-Brown’</w:t>
      </w:r>
      <w:r w:rsidR="000C4BA7">
        <w:t xml:space="preserve"> research question had the </w:t>
      </w:r>
      <w:r w:rsidR="00034A1B">
        <w:t>prospective</w:t>
      </w:r>
      <w:r w:rsidR="000C4BA7">
        <w:t xml:space="preserve"> to dig deeper and provide invaluable information regarding pain and palliative care as well as pushing to legalize euthanasia for those who believe in it. Even with the small sample size utilized, common themes appeared</w:t>
      </w:r>
      <w:r w:rsidR="00034A1B" w:rsidRPr="002A3D13">
        <w:rPr>
          <w:b/>
        </w:rPr>
        <w:t xml:space="preserve"> </w:t>
      </w:r>
      <w:r w:rsidR="00034A1B" w:rsidRPr="00262482">
        <w:t>(as cited in Peteva, 2008, pp. 198-199).</w:t>
      </w:r>
      <w:r w:rsidR="00034A1B">
        <w:t xml:space="preserve"> </w:t>
      </w:r>
      <w:r w:rsidR="000C4BA7">
        <w:t xml:space="preserve"> This </w:t>
      </w:r>
      <w:r w:rsidR="00E774A6">
        <w:t>author believes if properly researched, the research efforts may</w:t>
      </w:r>
      <w:r w:rsidR="000C4BA7">
        <w:t xml:space="preserve"> be expanded on further and contribute significantly to how patients (experiencing chronic pain while facing their own mortality) are recognized and treated properly.  While I do not believe the sample size used warrants enough evidence to be a true scientific study in itself, opening up the demographics will allocate a larger sa</w:t>
      </w:r>
      <w:r w:rsidR="00262482">
        <w:t>mple of people to participate</w:t>
      </w:r>
      <w:r w:rsidR="001A07B9">
        <w:t xml:space="preserve"> and possibly provide enough information</w:t>
      </w:r>
      <w:r w:rsidR="000C4BA7">
        <w:t xml:space="preserve"> to con</w:t>
      </w:r>
      <w:r w:rsidR="00785FCD">
        <w:t xml:space="preserve">firm or reject the current findings and themes. </w:t>
      </w:r>
    </w:p>
    <w:p w:rsidR="009F10AB" w:rsidRDefault="009F10AB" w:rsidP="001A07B9">
      <w:pPr>
        <w:pStyle w:val="ListParagraph"/>
        <w:spacing w:line="480" w:lineRule="auto"/>
        <w:ind w:left="1080" w:firstLine="360"/>
      </w:pPr>
      <w:r>
        <w:t xml:space="preserve">This author also feels that the by allowing the participants to </w:t>
      </w:r>
      <w:r w:rsidR="00E774A6">
        <w:t>leave the test site with the research questions in hand, the individuals true beliefs presented</w:t>
      </w:r>
      <w:r w:rsidR="001A07B9">
        <w:t xml:space="preserve"> for research have potential to be</w:t>
      </w:r>
      <w:r w:rsidR="00E774A6">
        <w:t xml:space="preserve"> compromised.  Although these questions were answered within </w:t>
      </w:r>
      <w:r w:rsidR="00E774A6">
        <w:lastRenderedPageBreak/>
        <w:t xml:space="preserve">the privacy of their own home, it is possible for a prompted discussion with other home occupants or visitors due to the nature of the questions.  The author further believes any discussion outside the participants original beliefs can lead to biased results. This aspect now becomes another portion of the study that needs reinventing before presenting it as a scientific study. </w:t>
      </w:r>
    </w:p>
    <w:p w:rsidR="004110E2" w:rsidRDefault="001A07B9" w:rsidP="004110E2">
      <w:pPr>
        <w:pStyle w:val="ListParagraph"/>
        <w:numPr>
          <w:ilvl w:val="0"/>
          <w:numId w:val="2"/>
        </w:numPr>
        <w:spacing w:line="480" w:lineRule="auto"/>
      </w:pPr>
      <w:r>
        <w:t>Winland-Brown’s</w:t>
      </w:r>
      <w:r w:rsidR="006E01F2">
        <w:t xml:space="preserve"> first common theme of what constitutes a good death summarized as “</w:t>
      </w:r>
      <w:r w:rsidR="006E01F2">
        <w:rPr>
          <w:i/>
        </w:rPr>
        <w:t>Coming to Peace with Onesel</w:t>
      </w:r>
      <w:r>
        <w:rPr>
          <w:i/>
        </w:rPr>
        <w:t>f and Others and Accepting that Death i</w:t>
      </w:r>
      <w:r w:rsidR="006E01F2">
        <w:rPr>
          <w:i/>
        </w:rPr>
        <w:t>s a Good Death”</w:t>
      </w:r>
      <w:r w:rsidRPr="001A07B9">
        <w:t xml:space="preserve"> </w:t>
      </w:r>
      <w:r>
        <w:t>(as cited in Peteva, 2008, p. 200)</w:t>
      </w:r>
      <w:r w:rsidR="006E01F2">
        <w:t>. The overwhelming majority of participants felt that a good death consisted of one that was pain free with feelings of happiness, fulfillment,</w:t>
      </w:r>
      <w:r w:rsidR="00861FA3">
        <w:t xml:space="preserve"> and peace.  According to the summation at the end of the </w:t>
      </w:r>
      <w:r>
        <w:t xml:space="preserve">Winland-Brown’s first </w:t>
      </w:r>
      <w:r w:rsidR="00861FA3">
        <w:t>theme, people surprisingly considered predictability a factor.  Those participating felt predictability would allot for more of an acceptance</w:t>
      </w:r>
      <w:r>
        <w:t xml:space="preserve"> (as cited in Peteva, 2008, p. 200)</w:t>
      </w:r>
      <w:r w:rsidR="00861FA3">
        <w:t>.  My hypothesis behind this reoccurring factor would</w:t>
      </w:r>
      <w:r w:rsidR="005D7515">
        <w:t xml:space="preserve"> be that predictability allows involved parties (the dying as one party, loved ones as another)</w:t>
      </w:r>
      <w:r w:rsidR="00861FA3">
        <w:t xml:space="preserve"> to control their stages of grief and </w:t>
      </w:r>
      <w:r w:rsidR="005D7515">
        <w:t>experience</w:t>
      </w:r>
      <w:r w:rsidR="00861FA3">
        <w:t xml:space="preserve"> the process </w:t>
      </w:r>
      <w:r w:rsidR="005D7515">
        <w:t xml:space="preserve">together and promoting acceptance together. </w:t>
      </w:r>
      <w:r w:rsidR="00861FA3">
        <w:t xml:space="preserve">Without predictability, the loved ones are left behind to go through the stages alone, rather than within the comfort of their soon to be lost loved one. </w:t>
      </w:r>
    </w:p>
    <w:p w:rsidR="004110E2" w:rsidRDefault="005D7515" w:rsidP="004110E2">
      <w:pPr>
        <w:pStyle w:val="ListParagraph"/>
        <w:spacing w:line="480" w:lineRule="auto"/>
        <w:ind w:left="1080" w:firstLine="360"/>
      </w:pPr>
      <w:r>
        <w:t>Winland-Brown’s second</w:t>
      </w:r>
      <w:r w:rsidR="004110E2">
        <w:t xml:space="preserve"> theme states </w:t>
      </w:r>
      <w:r w:rsidR="004110E2" w:rsidRPr="004110E2">
        <w:rPr>
          <w:i/>
        </w:rPr>
        <w:t>“To Have One’s Final Wishes Honored and Be Treated With Respec</w:t>
      </w:r>
      <w:r>
        <w:rPr>
          <w:i/>
        </w:rPr>
        <w:t>t and Dignity is an Expectation</w:t>
      </w:r>
      <w:r w:rsidR="004110E2" w:rsidRPr="004110E2">
        <w:rPr>
          <w:i/>
        </w:rPr>
        <w:t xml:space="preserve">” </w:t>
      </w:r>
      <w:r>
        <w:t>(as cited in Peteva, 2008, p. 200).  Her research participants shared stories that</w:t>
      </w:r>
      <w:r w:rsidR="004110E2">
        <w:t xml:space="preserve"> reflect on lack of respect for autonomy, as well as a neglect of recognition to view the patient as a whole unit-mind, body, soul</w:t>
      </w:r>
      <w:r>
        <w:t xml:space="preserve"> (as cited in Peteva, 2008, p. 200).  </w:t>
      </w:r>
      <w:r w:rsidR="004110E2">
        <w:t xml:space="preserve">As health care professionals, </w:t>
      </w:r>
      <w:r>
        <w:t xml:space="preserve">this </w:t>
      </w:r>
      <w:r>
        <w:lastRenderedPageBreak/>
        <w:t xml:space="preserve">author believes </w:t>
      </w:r>
      <w:r w:rsidR="004110E2">
        <w:t xml:space="preserve">it is important to recognize </w:t>
      </w:r>
      <w:r>
        <w:t>paternalism does not have a place in palliative care.</w:t>
      </w:r>
      <w:r w:rsidR="004110E2">
        <w:t xml:space="preserve"> </w:t>
      </w:r>
      <w:r>
        <w:t xml:space="preserve"> </w:t>
      </w:r>
      <w:r w:rsidR="004110E2">
        <w:t xml:space="preserve">The individual going through the end of life process deserves just as </w:t>
      </w:r>
      <w:r>
        <w:t>Winland-Brown’s</w:t>
      </w:r>
      <w:r w:rsidR="004110E2">
        <w:t xml:space="preserve"> theme states, respect and dignity</w:t>
      </w:r>
      <w:r>
        <w:t xml:space="preserve"> (as cited in Peteva, 2008, p. 200)</w:t>
      </w:r>
      <w:r w:rsidR="004110E2">
        <w:t xml:space="preserve">.  </w:t>
      </w:r>
      <w:r>
        <w:t>This author believes it is</w:t>
      </w:r>
      <w:r w:rsidR="004110E2">
        <w:t xml:space="preserve"> important not to let individual bias views interfere w</w:t>
      </w:r>
      <w:r>
        <w:t>ith what the patient desires or</w:t>
      </w:r>
      <w:r w:rsidR="004110E2">
        <w:t xml:space="preserve"> feels is right for their exit from this life. One statement made </w:t>
      </w:r>
      <w:r>
        <w:t xml:space="preserve">in Winland-Brown’s research </w:t>
      </w:r>
      <w:r w:rsidR="004110E2">
        <w:t>reflects a desire for a physician fearless of liability and lawsuit, who honors the patient’s wish</w:t>
      </w:r>
      <w:r>
        <w:t xml:space="preserve"> (as cited in Peteva, 2008, p. 200)</w:t>
      </w:r>
      <w:r w:rsidR="004110E2">
        <w:t xml:space="preserve">.  </w:t>
      </w:r>
      <w:r>
        <w:t>As the author of this paper, it is believed that this statement is a</w:t>
      </w:r>
      <w:r w:rsidR="004110E2">
        <w:t xml:space="preserve"> strong and bold </w:t>
      </w:r>
      <w:r>
        <w:t xml:space="preserve">perspective </w:t>
      </w:r>
      <w:r w:rsidR="004110E2">
        <w:t xml:space="preserve">that </w:t>
      </w:r>
      <w:r>
        <w:t>not only</w:t>
      </w:r>
      <w:r w:rsidR="004110E2">
        <w:t xml:space="preserve"> points out the lack of our rights as a patient in terms of death, </w:t>
      </w:r>
      <w:r>
        <w:t>but demonstrates physician’s hands are tied, so to speak, in regards to</w:t>
      </w:r>
      <w:r w:rsidR="004110E2">
        <w:t xml:space="preserve"> ethical and moral obligations according to law</w:t>
      </w:r>
      <w:r w:rsidR="0042292F">
        <w:t xml:space="preserve"> taking precedence over a natural right of death. </w:t>
      </w:r>
    </w:p>
    <w:p w:rsidR="00B159C2" w:rsidRDefault="005D7515" w:rsidP="00B159C2">
      <w:pPr>
        <w:pStyle w:val="ListParagraph"/>
        <w:spacing w:line="480" w:lineRule="auto"/>
        <w:ind w:left="1080" w:firstLine="360"/>
      </w:pPr>
      <w:r>
        <w:t>Winland-Brown’s</w:t>
      </w:r>
      <w:r w:rsidR="0042292F">
        <w:t xml:space="preserve"> third theme presents, </w:t>
      </w:r>
      <w:r w:rsidR="0042292F">
        <w:rPr>
          <w:i/>
        </w:rPr>
        <w:t>“Saying Good-bye to Loved Ones and Leaving Them Well</w:t>
      </w:r>
      <w:r>
        <w:rPr>
          <w:i/>
        </w:rPr>
        <w:t xml:space="preserve"> Prepared for Death is Essential</w:t>
      </w:r>
      <w:r w:rsidR="0042292F">
        <w:rPr>
          <w:i/>
        </w:rPr>
        <w:t xml:space="preserve">” </w:t>
      </w:r>
      <w:r>
        <w:t xml:space="preserve">(as cited in Peteva, 2008, p. 200).  </w:t>
      </w:r>
      <w:r w:rsidR="0042292F">
        <w:t xml:space="preserve">The basis behind </w:t>
      </w:r>
      <w:r w:rsidR="00934ED8">
        <w:t>her third</w:t>
      </w:r>
      <w:r w:rsidR="0042292F">
        <w:t xml:space="preserve"> theme is communication</w:t>
      </w:r>
      <w:r w:rsidR="00934ED8">
        <w:t xml:space="preserve"> (as cited in Peteva, 2008, p.200)</w:t>
      </w:r>
      <w:r w:rsidR="0042292F">
        <w:t>.  A point was stressed several times stating, tying up loose ends was an essential part of making peace with oneself and others. This</w:t>
      </w:r>
      <w:r w:rsidR="00934ED8">
        <w:t xml:space="preserve"> author has noted a pattern of this particular theme being depicted</w:t>
      </w:r>
      <w:r w:rsidR="0042292F">
        <w:t xml:space="preserve"> in the first and second theme</w:t>
      </w:r>
      <w:r w:rsidR="00934ED8">
        <w:t>s</w:t>
      </w:r>
      <w:r w:rsidR="0042292F">
        <w:t xml:space="preserve">, but less clearly defined.  </w:t>
      </w:r>
      <w:r w:rsidR="00934ED8">
        <w:t>Winland-Brown’s participants also made the point of</w:t>
      </w:r>
      <w:r w:rsidR="0042292F">
        <w:t xml:space="preserve"> the family unit working through the dying process together t</w:t>
      </w:r>
      <w:r w:rsidR="00934ED8">
        <w:t>o express feelings involved, further demonstrating</w:t>
      </w:r>
      <w:r w:rsidR="0042292F">
        <w:t xml:space="preserve"> that the individual dying cannot dye a good death </w:t>
      </w:r>
      <w:r w:rsidR="00934ED8">
        <w:t>if he or she understands</w:t>
      </w:r>
      <w:r w:rsidR="0042292F">
        <w:t xml:space="preserve"> </w:t>
      </w:r>
      <w:r w:rsidR="00934ED8">
        <w:t>loved ones have</w:t>
      </w:r>
      <w:r w:rsidR="0042292F">
        <w:t xml:space="preserve"> not yet come to terms with it or made their peace</w:t>
      </w:r>
      <w:r w:rsidR="00934ED8">
        <w:t xml:space="preserve"> (as cited in Peteva, 2008, p. 200)</w:t>
      </w:r>
      <w:r w:rsidR="0042292F">
        <w:t xml:space="preserve">.  This theme factor coincides with my individual theory </w:t>
      </w:r>
      <w:r w:rsidR="00934ED8">
        <w:t xml:space="preserve">as the author of this paper, </w:t>
      </w:r>
      <w:r w:rsidR="0042292F">
        <w:t>stated in regards to them</w:t>
      </w:r>
      <w:r w:rsidR="00934ED8">
        <w:t>e</w:t>
      </w:r>
      <w:r w:rsidR="0042292F">
        <w:t xml:space="preserve"> one.  </w:t>
      </w:r>
      <w:r w:rsidR="00934ED8">
        <w:t xml:space="preserve">To recap my belief, </w:t>
      </w:r>
      <w:r w:rsidR="00934ED8">
        <w:lastRenderedPageBreak/>
        <w:t>p</w:t>
      </w:r>
      <w:r w:rsidR="0042292F">
        <w:t xml:space="preserve">redictability of death </w:t>
      </w:r>
      <w:r w:rsidR="00934ED8">
        <w:t>enables</w:t>
      </w:r>
      <w:r w:rsidR="0042292F">
        <w:t xml:space="preserve"> the family to go through the stages of grief together,</w:t>
      </w:r>
      <w:r w:rsidR="00934ED8">
        <w:t xml:space="preserve"> promoting</w:t>
      </w:r>
      <w:r w:rsidR="0042292F">
        <w:t xml:space="preserve"> </w:t>
      </w:r>
      <w:r w:rsidR="00934ED8">
        <w:t>acceptance as a unit.  It is this author’s belief that this further facilitates a “good death” for the dying if their family has accepted it and all are at peace.</w:t>
      </w:r>
      <w:r w:rsidR="0042292F">
        <w:t xml:space="preserve"> </w:t>
      </w:r>
    </w:p>
    <w:p w:rsidR="003A1877" w:rsidRDefault="0042292F" w:rsidP="003A1877">
      <w:pPr>
        <w:pStyle w:val="ListParagraph"/>
        <w:spacing w:line="480" w:lineRule="auto"/>
        <w:ind w:left="1080" w:firstLine="360"/>
      </w:pPr>
      <w:r>
        <w:t>The fourth and final theme</w:t>
      </w:r>
      <w:r w:rsidR="00934ED8">
        <w:t xml:space="preserve"> of Winland-Brown’s research</w:t>
      </w:r>
      <w:r>
        <w:t xml:space="preserve"> related to “dying a g</w:t>
      </w:r>
      <w:r w:rsidR="00B159C2">
        <w:t xml:space="preserve">ood death” states a desire that </w:t>
      </w:r>
      <w:r w:rsidRPr="00B159C2">
        <w:rPr>
          <w:i/>
        </w:rPr>
        <w:t>“Achieving Lifelong Goals and Having Good Mem</w:t>
      </w:r>
      <w:r w:rsidR="00934ED8">
        <w:rPr>
          <w:i/>
        </w:rPr>
        <w:t>ories of Times Shared is Crucial</w:t>
      </w:r>
      <w:r w:rsidRPr="00B159C2">
        <w:rPr>
          <w:i/>
        </w:rPr>
        <w:t>”</w:t>
      </w:r>
      <w:r w:rsidR="00934ED8" w:rsidRPr="00934ED8">
        <w:t xml:space="preserve"> </w:t>
      </w:r>
      <w:r w:rsidR="00934ED8">
        <w:t>(as cited in Peteva, 2008, p. 200).</w:t>
      </w:r>
      <w:r w:rsidR="00934ED8">
        <w:rPr>
          <w:i/>
        </w:rPr>
        <w:t xml:space="preserve"> </w:t>
      </w:r>
      <w:r w:rsidRPr="00B159C2">
        <w:rPr>
          <w:i/>
        </w:rPr>
        <w:t xml:space="preserve"> </w:t>
      </w:r>
      <w:r w:rsidR="003A1877">
        <w:t>As a final common thought amongst a majority of participants</w:t>
      </w:r>
      <w:r w:rsidR="00934ED8">
        <w:t xml:space="preserve"> in Winland-Brown’s research</w:t>
      </w:r>
      <w:r w:rsidR="003A1877">
        <w:t>, achievement brought inner peace.  This could be achievement of goals, reflecting on life regret free, and feeling a sense of accomplishment through warmhearted memories</w:t>
      </w:r>
      <w:r w:rsidR="00934ED8">
        <w:t xml:space="preserve"> (as cited in Peteva, 2008, pp. 200-201)</w:t>
      </w:r>
      <w:r w:rsidR="003A1877">
        <w:t xml:space="preserve">.  </w:t>
      </w:r>
    </w:p>
    <w:p w:rsidR="003A1877" w:rsidRDefault="00934ED8" w:rsidP="003A1877">
      <w:pPr>
        <w:pStyle w:val="ListParagraph"/>
        <w:spacing w:line="480" w:lineRule="auto"/>
        <w:ind w:left="1080" w:firstLine="360"/>
      </w:pPr>
      <w:r>
        <w:t>The author of this paper believes e</w:t>
      </w:r>
      <w:r w:rsidR="003A1877">
        <w:t>ach of the four common</w:t>
      </w:r>
      <w:r w:rsidR="00A77BA9">
        <w:t xml:space="preserve"> themes involves the others upon deeper analysis.  It is this authors thought that a</w:t>
      </w:r>
      <w:r w:rsidR="003A1877">
        <w:t xml:space="preserve"> good death in theme one reflects inner peace and acceptance.</w:t>
      </w:r>
      <w:r w:rsidR="00A77BA9">
        <w:t xml:space="preserve"> This other then </w:t>
      </w:r>
      <w:r w:rsidR="003A1877">
        <w:t>relates</w:t>
      </w:r>
      <w:r w:rsidR="00A77BA9">
        <w:t xml:space="preserve"> theme two to the latter theme of theme one,</w:t>
      </w:r>
      <w:r w:rsidR="003A1877">
        <w:t xml:space="preserve"> as the dying hope to be treated with respect and dignity, which allows them to pass on in peace.  </w:t>
      </w:r>
      <w:r w:rsidR="00A77BA9">
        <w:t xml:space="preserve">Continuing on with the conclusion of this author, theme </w:t>
      </w:r>
      <w:r w:rsidR="003A1877">
        <w:t xml:space="preserve">three involves effective communication; this correlates to theme two, as good communication is essential for relationships and expression of desires and wishes.  </w:t>
      </w:r>
      <w:r w:rsidR="00A77BA9">
        <w:t>I</w:t>
      </w:r>
      <w:r w:rsidR="003A1877">
        <w:t>n turn</w:t>
      </w:r>
      <w:r w:rsidR="00A77BA9">
        <w:t>, this</w:t>
      </w:r>
      <w:r w:rsidR="003A1877">
        <w:t xml:space="preserve"> corresponds to</w:t>
      </w:r>
      <w:r w:rsidR="00A77BA9">
        <w:t xml:space="preserve"> Winland-Brown’s</w:t>
      </w:r>
      <w:r w:rsidR="003A1877">
        <w:t xml:space="preserve"> theme one, as when communication lines are opened and effective, the dying can leave in peace</w:t>
      </w:r>
      <w:r w:rsidR="00A77BA9">
        <w:t xml:space="preserve"> (as cited in Peteva, 2008, pp. 200).  Winland-Brown’s fourth theme </w:t>
      </w:r>
      <w:r w:rsidR="003A1877">
        <w:t>is about achievement and memories</w:t>
      </w:r>
      <w:r w:rsidR="00A77BA9">
        <w:t xml:space="preserve"> (as cited in Peteva, 2008, pp. 200-201)</w:t>
      </w:r>
      <w:r w:rsidR="003A1877">
        <w:t xml:space="preserve">.  </w:t>
      </w:r>
      <w:r w:rsidR="00A77BA9">
        <w:t>Participants of her research feel a</w:t>
      </w:r>
      <w:r w:rsidR="003A1877">
        <w:t xml:space="preserve">chievement of successful connections with family members and fond memories allow the dying to </w:t>
      </w:r>
      <w:r w:rsidR="003A1877">
        <w:lastRenderedPageBreak/>
        <w:t>feel at peace</w:t>
      </w:r>
      <w:r w:rsidR="00A77BA9">
        <w:t xml:space="preserve"> (as cited in Peteva, 2008, pp. 200-201</w:t>
      </w:r>
      <w:r w:rsidR="003A1877">
        <w:t>.  T</w:t>
      </w:r>
      <w:r w:rsidR="00A77BA9">
        <w:t>he author of this paper believes t</w:t>
      </w:r>
      <w:r w:rsidR="003A1877">
        <w:t>he four</w:t>
      </w:r>
      <w:r w:rsidR="00A77BA9">
        <w:t xml:space="preserve"> themes</w:t>
      </w:r>
      <w:r w:rsidR="003A1877">
        <w:t xml:space="preserve"> </w:t>
      </w:r>
      <w:r w:rsidR="0048611D">
        <w:t xml:space="preserve">are all interlinked through a desire for peace.  </w:t>
      </w:r>
    </w:p>
    <w:p w:rsidR="00A77BA9" w:rsidRDefault="0094235A" w:rsidP="00BB6ADB">
      <w:pPr>
        <w:pStyle w:val="ListParagraph"/>
        <w:numPr>
          <w:ilvl w:val="0"/>
          <w:numId w:val="2"/>
        </w:numPr>
        <w:spacing w:line="480" w:lineRule="auto"/>
      </w:pPr>
      <w:r>
        <w:t xml:space="preserve">According to Winland-Brown’s research, pain is the commonality between dying a good death and assisted suicide (as cited in Peteva, 2008, p. 202).  The overwhelming consensus of those surveyed in Winland-Brown’s research feel to die in pain does not constitute as a good death; having control over the end of life when pain has become unbearable and quality of life has diminished seems to be an acceptable idea (as cited in Peteva, 2008, p. 202).  Winland-Brown’s study recognized a need for healthcare providers to let go of the death taboo and open up to patients who desire additional discussion, information, and options (as cited in Peteva, 2008, pp. 202-203).  </w:t>
      </w:r>
      <w:r w:rsidR="00BB6ADB">
        <w:t>According to Winland-Brown’s study, it is essential for the healthcare providers, as well as the patients, to have explored their own mortality in order to facilitate beneficial discussion with patients currently facing their own mortality (as cited in Peteva, 2008, p. 203).</w:t>
      </w:r>
    </w:p>
    <w:p w:rsidR="0048611D" w:rsidRPr="003A1877" w:rsidRDefault="0048611D" w:rsidP="0048611D">
      <w:pPr>
        <w:pStyle w:val="ListParagraph"/>
        <w:spacing w:line="480" w:lineRule="auto"/>
      </w:pPr>
    </w:p>
    <w:p w:rsidR="0042292F" w:rsidRDefault="0042292F" w:rsidP="004110E2">
      <w:pPr>
        <w:pStyle w:val="ListParagraph"/>
        <w:spacing w:line="480" w:lineRule="auto"/>
        <w:ind w:left="1080" w:firstLine="360"/>
      </w:pPr>
    </w:p>
    <w:p w:rsidR="0042292F" w:rsidRPr="00861FA3" w:rsidRDefault="0042292F" w:rsidP="004110E2">
      <w:pPr>
        <w:pStyle w:val="ListParagraph"/>
        <w:spacing w:line="480" w:lineRule="auto"/>
        <w:ind w:left="1080" w:firstLine="360"/>
      </w:pPr>
    </w:p>
    <w:p w:rsidR="004110E2" w:rsidRDefault="004110E2" w:rsidP="004110E2">
      <w:pPr>
        <w:spacing w:line="480" w:lineRule="auto"/>
        <w:ind w:left="1080"/>
      </w:pPr>
    </w:p>
    <w:p w:rsidR="00BB6ADB" w:rsidRDefault="00BB6ADB" w:rsidP="00356F04">
      <w:pPr>
        <w:spacing w:line="480" w:lineRule="auto"/>
        <w:ind w:left="1080"/>
        <w:jc w:val="center"/>
      </w:pPr>
    </w:p>
    <w:p w:rsidR="00BB6ADB" w:rsidRDefault="00BB6ADB" w:rsidP="00356F04">
      <w:pPr>
        <w:spacing w:line="480" w:lineRule="auto"/>
        <w:ind w:left="1080"/>
        <w:jc w:val="center"/>
      </w:pPr>
    </w:p>
    <w:p w:rsidR="00BB6ADB" w:rsidRDefault="00BB6ADB" w:rsidP="00356F04">
      <w:pPr>
        <w:spacing w:line="480" w:lineRule="auto"/>
        <w:ind w:left="1080"/>
        <w:jc w:val="center"/>
      </w:pPr>
    </w:p>
    <w:p w:rsidR="00BB6ADB" w:rsidRDefault="00BB6ADB" w:rsidP="00356F04">
      <w:pPr>
        <w:spacing w:line="480" w:lineRule="auto"/>
        <w:ind w:left="1080"/>
        <w:jc w:val="center"/>
      </w:pPr>
    </w:p>
    <w:p w:rsidR="00BB6ADB" w:rsidRDefault="00BB6ADB" w:rsidP="00356F04">
      <w:pPr>
        <w:spacing w:line="480" w:lineRule="auto"/>
        <w:ind w:left="1080"/>
        <w:jc w:val="center"/>
      </w:pPr>
    </w:p>
    <w:p w:rsidR="00BB6ADB" w:rsidRDefault="00BB6ADB" w:rsidP="00356F04">
      <w:pPr>
        <w:spacing w:line="480" w:lineRule="auto"/>
        <w:ind w:left="1080"/>
        <w:jc w:val="center"/>
      </w:pPr>
    </w:p>
    <w:p w:rsidR="00BB6ADB" w:rsidRDefault="00BB6ADB" w:rsidP="00356F04">
      <w:pPr>
        <w:spacing w:line="480" w:lineRule="auto"/>
        <w:ind w:left="1080"/>
        <w:jc w:val="center"/>
      </w:pPr>
    </w:p>
    <w:p w:rsidR="003C08EE" w:rsidRDefault="003C08EE" w:rsidP="00356F04">
      <w:pPr>
        <w:spacing w:line="480" w:lineRule="auto"/>
        <w:ind w:left="1080"/>
        <w:jc w:val="center"/>
      </w:pPr>
    </w:p>
    <w:p w:rsidR="003C08EE" w:rsidRDefault="003C08EE" w:rsidP="00356F04">
      <w:pPr>
        <w:spacing w:line="480" w:lineRule="auto"/>
        <w:ind w:left="1080"/>
        <w:jc w:val="center"/>
      </w:pPr>
    </w:p>
    <w:p w:rsidR="00356F04" w:rsidRDefault="00356F04" w:rsidP="00356F04">
      <w:pPr>
        <w:spacing w:line="480" w:lineRule="auto"/>
        <w:ind w:left="1080"/>
        <w:jc w:val="center"/>
      </w:pPr>
      <w:r>
        <w:t>References</w:t>
      </w:r>
    </w:p>
    <w:p w:rsidR="00A77BA9" w:rsidRDefault="00A77BA9" w:rsidP="00A77BA9">
      <w:pPr>
        <w:spacing w:line="480" w:lineRule="auto"/>
        <w:rPr>
          <w:i/>
          <w:iCs/>
        </w:rPr>
      </w:pPr>
      <w:r>
        <w:t xml:space="preserve">Macnee, C. L., &amp; </w:t>
      </w:r>
      <w:r w:rsidRPr="00B8536E">
        <w:t>McCab</w:t>
      </w:r>
      <w:r w:rsidR="00B8536E" w:rsidRPr="00B8536E">
        <w:t>e</w:t>
      </w:r>
      <w:r w:rsidRPr="00B8536E">
        <w:t>,</w:t>
      </w:r>
      <w:r>
        <w:t xml:space="preserve"> S. (2008). </w:t>
      </w:r>
      <w:r>
        <w:rPr>
          <w:i/>
          <w:iCs/>
        </w:rPr>
        <w:t>Understanding nursing research</w:t>
      </w:r>
      <w:r w:rsidR="00E03B7B" w:rsidRPr="00B8536E">
        <w:rPr>
          <w:i/>
          <w:iCs/>
        </w:rPr>
        <w:t>:</w:t>
      </w:r>
      <w:r w:rsidR="00B8536E">
        <w:rPr>
          <w:i/>
          <w:iCs/>
        </w:rPr>
        <w:t xml:space="preserve"> R</w:t>
      </w:r>
      <w:r w:rsidRPr="00B8536E">
        <w:rPr>
          <w:i/>
          <w:iCs/>
        </w:rPr>
        <w:t>eading</w:t>
      </w:r>
      <w:r>
        <w:rPr>
          <w:i/>
          <w:iCs/>
        </w:rPr>
        <w:t xml:space="preserve"> and using</w:t>
      </w:r>
    </w:p>
    <w:p w:rsidR="003540C4" w:rsidRDefault="00A77BA9" w:rsidP="003540C4">
      <w:pPr>
        <w:spacing w:line="480" w:lineRule="auto"/>
        <w:ind w:left="720" w:firstLine="45"/>
      </w:pPr>
      <w:r>
        <w:rPr>
          <w:i/>
          <w:iCs/>
        </w:rPr>
        <w:t>research in evidence-based practice</w:t>
      </w:r>
      <w:r>
        <w:t xml:space="preserve"> (second ed., p. 72). Philadelphia: Lippincott, Williams, &amp; Wilkins</w:t>
      </w:r>
    </w:p>
    <w:p w:rsidR="003540C4" w:rsidRDefault="003540C4" w:rsidP="003540C4">
      <w:pPr>
        <w:spacing w:line="480" w:lineRule="auto"/>
        <w:rPr>
          <w:iCs/>
        </w:rPr>
      </w:pPr>
      <w:r>
        <w:rPr>
          <w:iCs/>
        </w:rPr>
        <w:t xml:space="preserve">Winland-Brown, J. (2001). John and Mary Q. Public’s perceptions of a good death and assisted </w:t>
      </w:r>
    </w:p>
    <w:p w:rsidR="003540C4" w:rsidRDefault="003540C4" w:rsidP="003540C4">
      <w:pPr>
        <w:spacing w:line="480" w:lineRule="auto"/>
        <w:rPr>
          <w:iCs/>
        </w:rPr>
      </w:pPr>
      <w:r>
        <w:rPr>
          <w:iCs/>
        </w:rPr>
        <w:tab/>
        <w:t xml:space="preserve">suicide. In R.J. Peteva (Ed.) </w:t>
      </w:r>
      <w:r>
        <w:rPr>
          <w:i/>
          <w:iCs/>
        </w:rPr>
        <w:t xml:space="preserve">A cross section of nursing research </w:t>
      </w:r>
      <w:r>
        <w:rPr>
          <w:iCs/>
        </w:rPr>
        <w:t xml:space="preserve">(pp. 198-205). Glendale, </w:t>
      </w:r>
    </w:p>
    <w:p w:rsidR="003540C4" w:rsidRPr="004377AB" w:rsidRDefault="003540C4" w:rsidP="004377AB">
      <w:pPr>
        <w:spacing w:line="480" w:lineRule="auto"/>
      </w:pPr>
      <w:r>
        <w:rPr>
          <w:iCs/>
        </w:rPr>
        <w:tab/>
        <w:t xml:space="preserve">CA: </w:t>
      </w:r>
      <w:r w:rsidR="004377AB">
        <w:rPr>
          <w:iCs/>
        </w:rPr>
        <w:t>Pyrczak Publishing</w:t>
      </w:r>
    </w:p>
    <w:p w:rsidR="00356F04" w:rsidRDefault="00B8536E" w:rsidP="00A77BA9">
      <w:pPr>
        <w:spacing w:line="480" w:lineRule="auto"/>
      </w:pPr>
      <w:r>
        <w:rPr>
          <w:iCs/>
        </w:rPr>
        <w:t>Phenomenology</w:t>
      </w:r>
      <w:r w:rsidR="00356F04" w:rsidRPr="00B8536E">
        <w:t>.</w:t>
      </w:r>
      <w:r w:rsidR="00356F04">
        <w:t xml:space="preserve"> (2003, November 16). Retrieved May 23, 2010, from </w:t>
      </w:r>
    </w:p>
    <w:p w:rsidR="00356F04" w:rsidRDefault="007844BD" w:rsidP="00356F04">
      <w:pPr>
        <w:spacing w:line="480" w:lineRule="auto"/>
        <w:ind w:left="1080"/>
      </w:pPr>
      <w:hyperlink r:id="rId7" w:history="1">
        <w:r w:rsidR="00356F04" w:rsidRPr="004E43E3">
          <w:rPr>
            <w:rStyle w:val="Hyperlink"/>
          </w:rPr>
          <w:t>http://plato.stanford.edu/entries/phenomenology/</w:t>
        </w:r>
      </w:hyperlink>
    </w:p>
    <w:p w:rsidR="000C5E1C" w:rsidRDefault="000C5E1C" w:rsidP="00356F04">
      <w:pPr>
        <w:spacing w:line="480" w:lineRule="auto"/>
        <w:ind w:left="1080"/>
      </w:pPr>
    </w:p>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sectPr w:rsidR="008D5C37" w:rsidSect="008D5C3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681" w:rsidRDefault="00A73681" w:rsidP="008D5C37">
      <w:r>
        <w:separator/>
      </w:r>
    </w:p>
  </w:endnote>
  <w:endnote w:type="continuationSeparator" w:id="1">
    <w:p w:rsidR="00A73681" w:rsidRDefault="00A73681" w:rsidP="008D5C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681" w:rsidRDefault="00A73681" w:rsidP="008D5C37">
      <w:r>
        <w:separator/>
      </w:r>
    </w:p>
  </w:footnote>
  <w:footnote w:type="continuationSeparator" w:id="1">
    <w:p w:rsidR="00A73681" w:rsidRDefault="00A73681" w:rsidP="008D5C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791667"/>
      <w:docPartObj>
        <w:docPartGallery w:val="Page Numbers (Top of Page)"/>
        <w:docPartUnique/>
      </w:docPartObj>
    </w:sdtPr>
    <w:sdtContent>
      <w:p w:rsidR="000C5E1C" w:rsidRDefault="007844BD">
        <w:pPr>
          <w:pStyle w:val="Header"/>
          <w:jc w:val="right"/>
        </w:pPr>
        <w:fldSimple w:instr=" PAGE   \* MERGEFORMAT ">
          <w:r w:rsidR="00904AB7">
            <w:rPr>
              <w:noProof/>
            </w:rPr>
            <w:t>5</w:t>
          </w:r>
        </w:fldSimple>
      </w:p>
    </w:sdtContent>
  </w:sdt>
  <w:p w:rsidR="000C5E1C" w:rsidRDefault="000C5E1C">
    <w:pPr>
      <w:pStyle w:val="Header"/>
    </w:pPr>
    <w:r>
      <w:t xml:space="preserve">RESEARCH ASSIGNMENT WEEK TWO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791673"/>
      <w:docPartObj>
        <w:docPartGallery w:val="Page Numbers (Top of Page)"/>
        <w:docPartUnique/>
      </w:docPartObj>
    </w:sdtPr>
    <w:sdtContent>
      <w:p w:rsidR="000C5E1C" w:rsidRDefault="000C5E1C" w:rsidP="008D5C37">
        <w:pPr>
          <w:pStyle w:val="Header"/>
        </w:pPr>
        <w:r>
          <w:t xml:space="preserve">Running head: RESEARCH ASSIGNMENT WEEK TWO </w:t>
        </w:r>
        <w:r>
          <w:tab/>
        </w:r>
        <w:r>
          <w:tab/>
        </w:r>
        <w:fldSimple w:instr=" PAGE   \* MERGEFORMAT ">
          <w:r w:rsidR="00904AB7">
            <w:rPr>
              <w:noProof/>
            </w:rPr>
            <w:t>1</w:t>
          </w:r>
        </w:fldSimple>
      </w:p>
    </w:sdtContent>
  </w:sdt>
  <w:p w:rsidR="000C5E1C" w:rsidRDefault="000C5E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92381"/>
    <w:multiLevelType w:val="hybridMultilevel"/>
    <w:tmpl w:val="A28E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73B06"/>
    <w:multiLevelType w:val="hybridMultilevel"/>
    <w:tmpl w:val="1E8A1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1B7A60"/>
    <w:multiLevelType w:val="hybridMultilevel"/>
    <w:tmpl w:val="A67C4B4E"/>
    <w:lvl w:ilvl="0" w:tplc="D09A37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E04D71"/>
    <w:multiLevelType w:val="hybridMultilevel"/>
    <w:tmpl w:val="C144E626"/>
    <w:lvl w:ilvl="0" w:tplc="D09A379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D5C37"/>
    <w:rsid w:val="00034A1B"/>
    <w:rsid w:val="000C4BA7"/>
    <w:rsid w:val="000C5E1C"/>
    <w:rsid w:val="000E785D"/>
    <w:rsid w:val="00151993"/>
    <w:rsid w:val="001A07B9"/>
    <w:rsid w:val="002030E9"/>
    <w:rsid w:val="00235DF2"/>
    <w:rsid w:val="002610D5"/>
    <w:rsid w:val="00262482"/>
    <w:rsid w:val="002A3D13"/>
    <w:rsid w:val="003540C4"/>
    <w:rsid w:val="00356F04"/>
    <w:rsid w:val="003A1877"/>
    <w:rsid w:val="003C08EE"/>
    <w:rsid w:val="004110E2"/>
    <w:rsid w:val="0042292F"/>
    <w:rsid w:val="004377AB"/>
    <w:rsid w:val="00464FC4"/>
    <w:rsid w:val="0048611D"/>
    <w:rsid w:val="00512E95"/>
    <w:rsid w:val="00533098"/>
    <w:rsid w:val="00542221"/>
    <w:rsid w:val="005610A8"/>
    <w:rsid w:val="005A3C1F"/>
    <w:rsid w:val="005D7515"/>
    <w:rsid w:val="006E01F2"/>
    <w:rsid w:val="007844BD"/>
    <w:rsid w:val="00785FCD"/>
    <w:rsid w:val="007A0903"/>
    <w:rsid w:val="008038BA"/>
    <w:rsid w:val="00810399"/>
    <w:rsid w:val="00861FA3"/>
    <w:rsid w:val="00886495"/>
    <w:rsid w:val="008D5C37"/>
    <w:rsid w:val="00904AB7"/>
    <w:rsid w:val="009110F4"/>
    <w:rsid w:val="009158BF"/>
    <w:rsid w:val="00934ED8"/>
    <w:rsid w:val="0094235A"/>
    <w:rsid w:val="009A56CB"/>
    <w:rsid w:val="009F10AB"/>
    <w:rsid w:val="00A73681"/>
    <w:rsid w:val="00A77BA9"/>
    <w:rsid w:val="00B159C2"/>
    <w:rsid w:val="00B83D27"/>
    <w:rsid w:val="00B8536E"/>
    <w:rsid w:val="00BB6ADB"/>
    <w:rsid w:val="00C378BC"/>
    <w:rsid w:val="00CB71A9"/>
    <w:rsid w:val="00CF38C9"/>
    <w:rsid w:val="00DB78EA"/>
    <w:rsid w:val="00E03B7B"/>
    <w:rsid w:val="00E774A6"/>
    <w:rsid w:val="00EE708F"/>
    <w:rsid w:val="00F3149E"/>
    <w:rsid w:val="00FD067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1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C37"/>
    <w:pPr>
      <w:tabs>
        <w:tab w:val="center" w:pos="4680"/>
        <w:tab w:val="right" w:pos="9360"/>
      </w:tabs>
    </w:pPr>
  </w:style>
  <w:style w:type="character" w:customStyle="1" w:styleId="HeaderChar">
    <w:name w:val="Header Char"/>
    <w:basedOn w:val="DefaultParagraphFont"/>
    <w:link w:val="Header"/>
    <w:uiPriority w:val="99"/>
    <w:rsid w:val="008D5C37"/>
  </w:style>
  <w:style w:type="paragraph" w:styleId="Footer">
    <w:name w:val="footer"/>
    <w:basedOn w:val="Normal"/>
    <w:link w:val="FooterChar"/>
    <w:uiPriority w:val="99"/>
    <w:semiHidden/>
    <w:unhideWhenUsed/>
    <w:rsid w:val="008D5C37"/>
    <w:pPr>
      <w:tabs>
        <w:tab w:val="center" w:pos="4680"/>
        <w:tab w:val="right" w:pos="9360"/>
      </w:tabs>
    </w:pPr>
  </w:style>
  <w:style w:type="character" w:customStyle="1" w:styleId="FooterChar">
    <w:name w:val="Footer Char"/>
    <w:basedOn w:val="DefaultParagraphFont"/>
    <w:link w:val="Footer"/>
    <w:uiPriority w:val="99"/>
    <w:semiHidden/>
    <w:rsid w:val="008D5C37"/>
  </w:style>
  <w:style w:type="paragraph" w:styleId="BalloonText">
    <w:name w:val="Balloon Text"/>
    <w:basedOn w:val="Normal"/>
    <w:link w:val="BalloonTextChar"/>
    <w:uiPriority w:val="99"/>
    <w:semiHidden/>
    <w:unhideWhenUsed/>
    <w:rsid w:val="008D5C37"/>
    <w:rPr>
      <w:rFonts w:ascii="Tahoma" w:hAnsi="Tahoma" w:cs="Tahoma"/>
      <w:sz w:val="16"/>
      <w:szCs w:val="16"/>
    </w:rPr>
  </w:style>
  <w:style w:type="character" w:customStyle="1" w:styleId="BalloonTextChar">
    <w:name w:val="Balloon Text Char"/>
    <w:basedOn w:val="DefaultParagraphFont"/>
    <w:link w:val="BalloonText"/>
    <w:uiPriority w:val="99"/>
    <w:semiHidden/>
    <w:rsid w:val="008D5C37"/>
    <w:rPr>
      <w:rFonts w:ascii="Tahoma" w:hAnsi="Tahoma" w:cs="Tahoma"/>
      <w:sz w:val="16"/>
      <w:szCs w:val="16"/>
    </w:rPr>
  </w:style>
  <w:style w:type="paragraph" w:styleId="ListParagraph">
    <w:name w:val="List Paragraph"/>
    <w:basedOn w:val="Normal"/>
    <w:uiPriority w:val="34"/>
    <w:qFormat/>
    <w:rsid w:val="00151993"/>
    <w:pPr>
      <w:ind w:left="720"/>
      <w:contextualSpacing/>
    </w:pPr>
  </w:style>
  <w:style w:type="character" w:styleId="Hyperlink">
    <w:name w:val="Hyperlink"/>
    <w:basedOn w:val="DefaultParagraphFont"/>
    <w:uiPriority w:val="99"/>
    <w:unhideWhenUsed/>
    <w:rsid w:val="00356F0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lato.stanford.edu/entries/phenomen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1905</Words>
  <Characters>10860</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dc:creator>
  <cp:lastModifiedBy> </cp:lastModifiedBy>
  <cp:revision>2</cp:revision>
  <dcterms:created xsi:type="dcterms:W3CDTF">2010-06-01T20:16:00Z</dcterms:created>
  <dcterms:modified xsi:type="dcterms:W3CDTF">2010-06-01T20:16:00Z</dcterms:modified>
</cp:coreProperties>
</file>