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B7D" w:rsidRDefault="00CB4B7D" w:rsidP="00CB4B7D">
      <w:pPr>
        <w:pStyle w:val="APABody"/>
      </w:pPr>
    </w:p>
    <w:p w:rsidR="00CB4B7D" w:rsidRDefault="00CB4B7D" w:rsidP="00CB4B7D">
      <w:pPr>
        <w:pStyle w:val="APABody"/>
      </w:pPr>
    </w:p>
    <w:p w:rsidR="00CB4B7D" w:rsidRDefault="00CB4B7D" w:rsidP="00CB4B7D">
      <w:pPr>
        <w:pStyle w:val="APABody"/>
      </w:pPr>
    </w:p>
    <w:p w:rsidR="00CB4B7D" w:rsidRDefault="00CB4B7D" w:rsidP="00CB4B7D">
      <w:pPr>
        <w:pStyle w:val="APABody"/>
      </w:pPr>
    </w:p>
    <w:p w:rsidR="00CB4B7D" w:rsidRDefault="00CB4B7D" w:rsidP="00CB4B7D">
      <w:pPr>
        <w:pStyle w:val="APABody"/>
      </w:pPr>
    </w:p>
    <w:p w:rsidR="00CB4B7D" w:rsidRDefault="00CB4B7D" w:rsidP="00CB4B7D">
      <w:pPr>
        <w:pStyle w:val="APABody"/>
      </w:pPr>
    </w:p>
    <w:p w:rsidR="00CB4B7D" w:rsidRDefault="008E2193" w:rsidP="00CB4B7D">
      <w:pPr>
        <w:pStyle w:val="APACenteredText"/>
      </w:pPr>
      <w:r>
        <w:t>Roth Mod</w:t>
      </w:r>
      <w:r w:rsidR="00CB4B7D">
        <w:t xml:space="preserve"> 4</w:t>
      </w:r>
    </w:p>
    <w:p w:rsidR="008E2193" w:rsidRDefault="008E2193" w:rsidP="008E2193">
      <w:pPr>
        <w:pStyle w:val="APACenteredText"/>
      </w:pPr>
      <w:r>
        <w:t>Activity A:  Ethics Case Study</w:t>
      </w:r>
    </w:p>
    <w:p w:rsidR="00CB4B7D" w:rsidRDefault="00CB4B7D" w:rsidP="00CB4B7D">
      <w:pPr>
        <w:pStyle w:val="APACenteredText"/>
      </w:pPr>
      <w:r>
        <w:t>Sheila Roth</w:t>
      </w:r>
    </w:p>
    <w:p w:rsidR="00CB4B7D" w:rsidRDefault="00CB4B7D" w:rsidP="00CB4B7D">
      <w:pPr>
        <w:pStyle w:val="APACenteredText"/>
      </w:pPr>
      <w:r>
        <w:t>Lakeview College of Nursing</w:t>
      </w:r>
    </w:p>
    <w:p w:rsidR="00CB4B7D" w:rsidRDefault="00CB4B7D" w:rsidP="00CB4B7D">
      <w:pPr>
        <w:pStyle w:val="APACenteredText"/>
      </w:pPr>
      <w:r>
        <w:t>Palliative Care RN306</w:t>
      </w:r>
    </w:p>
    <w:p w:rsidR="00CB4B7D" w:rsidRDefault="00CB4B7D" w:rsidP="00CB4B7D">
      <w:pPr>
        <w:pStyle w:val="APACenteredText"/>
      </w:pPr>
      <w:r>
        <w:t>March 12, 2011</w:t>
      </w:r>
    </w:p>
    <w:p w:rsidR="00CB4B7D" w:rsidRDefault="00CB4B7D" w:rsidP="00CB4B7D">
      <w:pPr>
        <w:pStyle w:val="APABody"/>
      </w:pPr>
      <w:r>
        <w:br w:type="page"/>
      </w:r>
    </w:p>
    <w:p w:rsidR="00CB4B7D" w:rsidRDefault="00CB4B7D" w:rsidP="00CB4B7D">
      <w:pPr>
        <w:pStyle w:val="APACenteredText"/>
      </w:pPr>
      <w:r>
        <w:lastRenderedPageBreak/>
        <w:t>Roth Module 4</w:t>
      </w:r>
    </w:p>
    <w:p w:rsidR="00475399" w:rsidRDefault="005264BF" w:rsidP="00475399">
      <w:pPr>
        <w:pStyle w:val="APABody"/>
      </w:pPr>
      <w:r>
        <w:t xml:space="preserve">Mr. W. was a 50 year-old construction worker, separated </w:t>
      </w:r>
      <w:r w:rsidR="001D09EF">
        <w:t>from his</w:t>
      </w:r>
      <w:r>
        <w:t xml:space="preserve"> wife (though still legally married) and with a teenage child.  He had a history of laryngeal carcinoma diagnosed one year before.  He was admitted to the hospital for what turned out to be a final 7 weeks of hospitalization.  His admission was initially prompted by increased shortness of breath and facial swelling following chemotherapy.  His hospital stay was complicated by a left carotid erosion for which he had a bedside carotid ligation.  He spent 2 weeks in the medical intensive care unit (MICU) for stabilization and treatment of pneumonia.  Mr. W. </w:t>
      </w:r>
      <w:r w:rsidR="001D09EF">
        <w:t>h</w:t>
      </w:r>
      <w:r>
        <w:t xml:space="preserve">ad elected the “Do-Not-Resuscitate” option.  His hospital course was marked by </w:t>
      </w:r>
      <w:r w:rsidR="001D09EF">
        <w:t>increased</w:t>
      </w:r>
      <w:r>
        <w:t xml:space="preserve"> pain, facial swelling, periodic seizures, a second pneumonia and progressive weakness.  At all times he was bed bound and artificially fed.  His pain was relatively well controlled but the facial swelling was uncontrollable</w:t>
      </w:r>
      <w:r w:rsidR="00577880">
        <w:t>.  Communication was possible to some extent through hand signals.  Decisions were made after lengthy explanations to the patient and his wife, his designated health care agent.  In the final weeks of life, Mr. W’s condition further deteriorated.  His ability to communicate markedly decreased.  In response to his enormous suffering, palliative care staff recommended sedation for Mr. W.  Although his wife supported the decision, several nurses and house officers were concerned that such an intervention would go beyond the boundaries of appropriate symptom management.  Mr. W’s. feeding tube was withdrawn, in accord with symptom control, comfort measures and the patient’s wishes.  The patient, completely unresponsive in the last 5 days of his life, died very peacefully.</w:t>
      </w:r>
      <w:r>
        <w:t xml:space="preserve"> </w:t>
      </w:r>
    </w:p>
    <w:p w:rsidR="00475399" w:rsidRDefault="00475399" w:rsidP="00475399">
      <w:pPr>
        <w:pStyle w:val="APABody"/>
        <w:ind w:left="-720"/>
        <w:rPr>
          <w:b/>
        </w:rPr>
      </w:pPr>
      <w:r>
        <w:rPr>
          <w:b/>
        </w:rPr>
        <w:t xml:space="preserve"> What are the ethical issues brought up in this case study?  </w:t>
      </w:r>
    </w:p>
    <w:p w:rsidR="00DE4405" w:rsidRDefault="00672697" w:rsidP="00672697">
      <w:pPr>
        <w:pStyle w:val="APABody"/>
        <w:numPr>
          <w:ilvl w:val="0"/>
          <w:numId w:val="1"/>
        </w:numPr>
      </w:pPr>
      <w:r>
        <w:lastRenderedPageBreak/>
        <w:t xml:space="preserve"> There is conflict between the patient’s decision for palliative sedation and the acceptance of that decision with the nursing staff and house officer.</w:t>
      </w:r>
      <w:r w:rsidR="00061498">
        <w:t xml:space="preserve">  The patient’s right to autonomy is being questioned.</w:t>
      </w:r>
    </w:p>
    <w:p w:rsidR="00F62BAD" w:rsidRDefault="006D231C" w:rsidP="00F62BAD">
      <w:pPr>
        <w:pStyle w:val="APABody"/>
        <w:numPr>
          <w:ilvl w:val="0"/>
          <w:numId w:val="1"/>
        </w:numPr>
      </w:pPr>
      <w:r>
        <w:t xml:space="preserve">The above case study addresses the fact that the patient’s pain increased with his hospital stay.  However, the next sentence says his pain is “relatively well controlled.”  </w:t>
      </w:r>
      <w:r w:rsidR="00561F3E">
        <w:t xml:space="preserve">It does not state how the pain is controlled.  What is being used for pain control?  The physician should be treating this patient with appropriate pain medications to keep him comfortable.  If the doctor has not gotten Mr. W.’s pain under control; maybe Mr. W. needs a different form or combination of pain medication.  </w:t>
      </w:r>
      <w:r w:rsidR="00603D01">
        <w:t>Is his pain physical, emotional, spiritual or social?  Has social work or the chaplain been involved with this patient and his wife?</w:t>
      </w:r>
    </w:p>
    <w:p w:rsidR="0040025F" w:rsidRDefault="00F62BAD" w:rsidP="00F62BAD">
      <w:pPr>
        <w:pStyle w:val="APABody"/>
        <w:numPr>
          <w:ilvl w:val="0"/>
          <w:numId w:val="1"/>
        </w:numPr>
      </w:pPr>
      <w:r>
        <w:t>The case study states, “In response to his enormous suffering, palliative care staff recommended sedation for Mr. W.”</w:t>
      </w:r>
      <w:r w:rsidR="00561F3E">
        <w:t xml:space="preserve"> </w:t>
      </w:r>
      <w:r>
        <w:t xml:space="preserve">The case study does not indicate what type of suffering Mr. W. is experiencing.  Is it physical pain, psychological, emotional, or spiritual suffering?  There are no indicator’s that suggest anyone took the time to find out.  Instead, palliative care suggested sedation.  According to Derse (2007), </w:t>
      </w:r>
    </w:p>
    <w:p w:rsidR="006D231C" w:rsidRDefault="0040025F" w:rsidP="0040025F">
      <w:pPr>
        <w:pStyle w:val="APABody"/>
        <w:ind w:left="1080" w:firstLine="0"/>
      </w:pPr>
      <w:r>
        <w:tab/>
      </w:r>
      <w:r>
        <w:tab/>
      </w:r>
      <w:r w:rsidR="00F62BAD">
        <w:t xml:space="preserve">A trial of palliative sedation is an option for end-of-life patients who have </w:t>
      </w:r>
      <w:r>
        <w:tab/>
      </w:r>
      <w:r>
        <w:tab/>
      </w:r>
      <w:r>
        <w:tab/>
      </w:r>
      <w:r w:rsidR="00F62BAD">
        <w:t xml:space="preserve">intractable pain or suffering if all other methods to relieve the suffering </w:t>
      </w:r>
      <w:r>
        <w:tab/>
      </w:r>
      <w:r>
        <w:tab/>
      </w:r>
      <w:r>
        <w:tab/>
      </w:r>
      <w:r w:rsidR="00F62BAD">
        <w:t xml:space="preserve">have been </w:t>
      </w:r>
      <w:r>
        <w:t>u</w:t>
      </w:r>
      <w:r w:rsidR="00F62BAD">
        <w:t>nsuccessful</w:t>
      </w:r>
      <w:r>
        <w:t xml:space="preserve">…An intermediate step is a trial of palliative </w:t>
      </w:r>
      <w:r>
        <w:tab/>
      </w:r>
      <w:r>
        <w:tab/>
      </w:r>
      <w:r>
        <w:tab/>
        <w:t xml:space="preserve">sedation in which the </w:t>
      </w:r>
      <w:r>
        <w:tab/>
        <w:t xml:space="preserve">patient is sedated to unconsciousness and, after a </w:t>
      </w:r>
      <w:r>
        <w:tab/>
      </w:r>
      <w:r>
        <w:tab/>
      </w:r>
      <w:r>
        <w:tab/>
        <w:t xml:space="preserve">certain period of time, is re-awakened to determine whether the pain or </w:t>
      </w:r>
      <w:r w:rsidR="00DE0DF4">
        <w:tab/>
      </w:r>
      <w:r w:rsidR="00DE0DF4">
        <w:tab/>
      </w:r>
      <w:r w:rsidR="00DE0DF4">
        <w:tab/>
      </w:r>
      <w:r>
        <w:t xml:space="preserve">suffering has been alleviated.  If not, </w:t>
      </w:r>
      <w:r>
        <w:tab/>
        <w:t>the patient is sedated again. (p. 301)</w:t>
      </w:r>
    </w:p>
    <w:p w:rsidR="00DE0DF4" w:rsidRDefault="00DE0DF4" w:rsidP="00DE0DF4">
      <w:pPr>
        <w:pStyle w:val="APABody"/>
        <w:ind w:left="1080" w:firstLine="0"/>
      </w:pPr>
      <w:r>
        <w:lastRenderedPageBreak/>
        <w:t xml:space="preserve">There is no information supporting the fact that other methods to relieve suffering had been completed.  There is also no indication that the sedation was performed as a trial.  The doctors appear to have failed this patient in more than one way.  It also appears as though the patient’s wife and palliative care may have done the same.  </w:t>
      </w:r>
    </w:p>
    <w:p w:rsidR="00E23FEE" w:rsidRDefault="00475399" w:rsidP="00DE0DF4">
      <w:pPr>
        <w:pStyle w:val="APABody"/>
        <w:ind w:firstLine="0"/>
        <w:rPr>
          <w:b/>
        </w:rPr>
      </w:pPr>
      <w:r>
        <w:rPr>
          <w:b/>
        </w:rPr>
        <w:t>What constitutes an ethical problem?</w:t>
      </w:r>
    </w:p>
    <w:p w:rsidR="00216AC5" w:rsidRPr="00216AC5" w:rsidRDefault="00DC6955" w:rsidP="00DE0DF4">
      <w:pPr>
        <w:pStyle w:val="APABody"/>
        <w:ind w:firstLine="0"/>
      </w:pPr>
      <w:r>
        <w:rPr>
          <w:b/>
        </w:rPr>
        <w:tab/>
      </w:r>
      <w:r>
        <w:t xml:space="preserve">According to Norlander (2008), </w:t>
      </w:r>
      <w:r w:rsidR="00216AC5">
        <w:t>“Health care ethics (also called bioethics or medical ethics) is the ‘study of moral obligations of</w:t>
      </w:r>
      <w:r>
        <w:t xml:space="preserve"> </w:t>
      </w:r>
      <w:r w:rsidR="00216AC5">
        <w:t xml:space="preserve">health care providers and society in preventing and treating disease and injury and in caring for </w:t>
      </w:r>
      <w:r>
        <w:t>people with illness and injury (p.104).”  Ethical problems occur when there is conflict or controversy regarding treatment of a patient or the plan of care with that patient. (Norlander, 2008)</w:t>
      </w:r>
    </w:p>
    <w:p w:rsidR="003C29E3" w:rsidRDefault="00475399" w:rsidP="00590070">
      <w:pPr>
        <w:pStyle w:val="APABody"/>
        <w:ind w:firstLine="0"/>
        <w:rPr>
          <w:b/>
        </w:rPr>
      </w:pPr>
      <w:r>
        <w:rPr>
          <w:b/>
        </w:rPr>
        <w:t>Give an example from the case study above.</w:t>
      </w:r>
    </w:p>
    <w:p w:rsidR="005E7040" w:rsidRPr="005E7040" w:rsidRDefault="005E7040" w:rsidP="005E7040">
      <w:pPr>
        <w:pStyle w:val="APABody"/>
        <w:jc w:val="both"/>
      </w:pPr>
      <w:r>
        <w:t>An example of an ethical problem from the case study above would be the fact that the staff and house officer felt the treatment (palliative sedation) went outside of the treatment boundaries of appropriate symptom management.</w:t>
      </w:r>
    </w:p>
    <w:p w:rsidR="00475399" w:rsidRDefault="00475399" w:rsidP="003A4B95">
      <w:pPr>
        <w:pStyle w:val="APABody"/>
        <w:ind w:left="-720"/>
        <w:jc w:val="both"/>
        <w:rPr>
          <w:b/>
        </w:rPr>
      </w:pPr>
      <w:r>
        <w:rPr>
          <w:b/>
        </w:rPr>
        <w:t xml:space="preserve"> Define and give examples of withholding and withdrawal treatment.</w:t>
      </w:r>
    </w:p>
    <w:p w:rsidR="005E7040" w:rsidRDefault="00216AC5" w:rsidP="00216AC5">
      <w:pPr>
        <w:pStyle w:val="APABody"/>
        <w:numPr>
          <w:ilvl w:val="0"/>
          <w:numId w:val="1"/>
        </w:numPr>
        <w:jc w:val="both"/>
        <w:rPr>
          <w:rStyle w:val="ssens"/>
          <w:rFonts w:cs="Times New Roman"/>
          <w:szCs w:val="24"/>
        </w:rPr>
      </w:pPr>
      <w:r>
        <w:t xml:space="preserve"> With</w:t>
      </w:r>
      <w:r w:rsidR="00F62936">
        <w:t>draw</w:t>
      </w:r>
      <w:r>
        <w:t>ing treatment</w:t>
      </w:r>
      <w:r w:rsidR="00592996">
        <w:t xml:space="preserve"> according to Merriam-Webster, (2011)</w:t>
      </w:r>
      <w:r w:rsidR="00534043">
        <w:t>,</w:t>
      </w:r>
      <w:r>
        <w:t xml:space="preserve"> </w:t>
      </w:r>
      <w:r w:rsidR="00F62936">
        <w:t>“</w:t>
      </w:r>
      <w:r w:rsidR="00534043" w:rsidRPr="00F62936">
        <w:rPr>
          <w:rStyle w:val="Emphasis"/>
          <w:rFonts w:cs="Times New Roman"/>
          <w:szCs w:val="24"/>
        </w:rPr>
        <w:t>a</w:t>
      </w:r>
      <w:r w:rsidR="00534043" w:rsidRPr="00F62936">
        <w:rPr>
          <w:rStyle w:val="ssens"/>
          <w:rFonts w:cs="Times New Roman"/>
          <w:szCs w:val="24"/>
        </w:rPr>
        <w:t>:</w:t>
      </w:r>
      <w:r w:rsidR="00F62936" w:rsidRPr="00F62936">
        <w:rPr>
          <w:rStyle w:val="ssens"/>
          <w:rFonts w:cs="Times New Roman"/>
          <w:szCs w:val="24"/>
        </w:rPr>
        <w:t xml:space="preserve"> to take back or </w:t>
      </w:r>
      <w:r w:rsidR="00534043" w:rsidRPr="00F62936">
        <w:rPr>
          <w:rStyle w:val="ssens"/>
          <w:rFonts w:cs="Times New Roman"/>
          <w:szCs w:val="24"/>
        </w:rPr>
        <w:t>away:</w:t>
      </w:r>
      <w:r w:rsidR="00F62936" w:rsidRPr="00F62936">
        <w:rPr>
          <w:rStyle w:val="ssens"/>
          <w:rFonts w:cs="Times New Roman"/>
          <w:szCs w:val="24"/>
        </w:rPr>
        <w:t xml:space="preserve"> </w:t>
      </w:r>
      <w:r w:rsidR="00592996">
        <w:rPr>
          <w:rStyle w:val="ssens"/>
          <w:rFonts w:cs="Times New Roman"/>
          <w:szCs w:val="24"/>
        </w:rPr>
        <w:t xml:space="preserve">Remove &lt; </w:t>
      </w:r>
      <w:r w:rsidR="00F62936" w:rsidRPr="00F62936">
        <w:rPr>
          <w:rStyle w:val="vi"/>
          <w:rFonts w:cs="Times New Roman"/>
          <w:szCs w:val="24"/>
        </w:rPr>
        <w:t xml:space="preserve">pressure upon educational administrators to </w:t>
      </w:r>
      <w:r w:rsidR="00F62936" w:rsidRPr="00F62936">
        <w:rPr>
          <w:rStyle w:val="Emphasis"/>
          <w:rFonts w:cs="Times New Roman"/>
          <w:szCs w:val="24"/>
        </w:rPr>
        <w:t>withdraw</w:t>
      </w:r>
      <w:r w:rsidR="00F62936" w:rsidRPr="00F62936">
        <w:rPr>
          <w:rStyle w:val="vi"/>
          <w:rFonts w:cs="Times New Roman"/>
          <w:szCs w:val="24"/>
        </w:rPr>
        <w:t xml:space="preserve"> academic credit — J. W. Scott&gt;</w:t>
      </w:r>
      <w:r w:rsidR="00F62936" w:rsidRPr="00F62936">
        <w:rPr>
          <w:rStyle w:val="ssens"/>
          <w:rFonts w:cs="Times New Roman"/>
          <w:szCs w:val="24"/>
        </w:rPr>
        <w:t xml:space="preserve"> </w:t>
      </w:r>
      <w:r w:rsidR="00534043" w:rsidRPr="00F62936">
        <w:rPr>
          <w:rStyle w:val="Emphasis"/>
          <w:rFonts w:cs="Times New Roman"/>
          <w:szCs w:val="24"/>
        </w:rPr>
        <w:t>b</w:t>
      </w:r>
      <w:r w:rsidR="00534043" w:rsidRPr="00F62936">
        <w:rPr>
          <w:rStyle w:val="ssens"/>
          <w:rFonts w:cs="Times New Roman"/>
          <w:szCs w:val="24"/>
        </w:rPr>
        <w:t>:</w:t>
      </w:r>
      <w:r w:rsidR="00F62936" w:rsidRPr="00F62936">
        <w:rPr>
          <w:rStyle w:val="ssens"/>
          <w:rFonts w:cs="Times New Roman"/>
          <w:szCs w:val="24"/>
        </w:rPr>
        <w:t xml:space="preserve"> to remove from use or cultivation</w:t>
      </w:r>
      <w:r w:rsidR="00F62936">
        <w:rPr>
          <w:rStyle w:val="ssens"/>
          <w:rFonts w:cs="Times New Roman"/>
          <w:szCs w:val="24"/>
        </w:rPr>
        <w:t xml:space="preserve"> (Withdraw, 2011)."</w:t>
      </w:r>
      <w:r w:rsidR="00592996">
        <w:rPr>
          <w:rStyle w:val="ssens"/>
          <w:rFonts w:cs="Times New Roman"/>
          <w:szCs w:val="24"/>
        </w:rPr>
        <w:t xml:space="preserve">  An example of withdrawing treatment would be the removal of Mr. W.’s feeding tube.</w:t>
      </w:r>
    </w:p>
    <w:p w:rsidR="00F62936" w:rsidRPr="00F62936" w:rsidRDefault="00C64360" w:rsidP="00216AC5">
      <w:pPr>
        <w:pStyle w:val="APABody"/>
        <w:numPr>
          <w:ilvl w:val="0"/>
          <w:numId w:val="1"/>
        </w:numPr>
        <w:jc w:val="both"/>
        <w:rPr>
          <w:rFonts w:cs="Times New Roman"/>
          <w:szCs w:val="24"/>
        </w:rPr>
      </w:pPr>
      <w:r>
        <w:rPr>
          <w:rStyle w:val="ssens"/>
          <w:rFonts w:cs="Times New Roman"/>
          <w:szCs w:val="24"/>
        </w:rPr>
        <w:t>Withhold treatment</w:t>
      </w:r>
      <w:r w:rsidR="00592996">
        <w:rPr>
          <w:rStyle w:val="ssens"/>
          <w:rFonts w:cs="Times New Roman"/>
          <w:szCs w:val="24"/>
        </w:rPr>
        <w:t xml:space="preserve"> according to Encyclopedia.com (2011)</w:t>
      </w:r>
      <w:r w:rsidR="00534043">
        <w:rPr>
          <w:rStyle w:val="ssens"/>
          <w:rFonts w:cs="Times New Roman"/>
          <w:szCs w:val="24"/>
        </w:rPr>
        <w:t>, “</w:t>
      </w:r>
      <w:r w:rsidR="00FA4415">
        <w:rPr>
          <w:rStyle w:val="ssens"/>
          <w:rFonts w:cs="Times New Roman"/>
          <w:szCs w:val="24"/>
        </w:rPr>
        <w:t xml:space="preserve">hold or keep </w:t>
      </w:r>
      <w:r w:rsidR="00534043">
        <w:rPr>
          <w:rStyle w:val="ssens"/>
          <w:rFonts w:cs="Times New Roman"/>
          <w:szCs w:val="24"/>
        </w:rPr>
        <w:t>back (</w:t>
      </w:r>
      <w:r w:rsidR="00FA4415">
        <w:rPr>
          <w:rStyle w:val="ssens"/>
          <w:rFonts w:cs="Times New Roman"/>
          <w:szCs w:val="24"/>
        </w:rPr>
        <w:t>Withhold, 2011</w:t>
      </w:r>
      <w:r w:rsidR="00F13BC8">
        <w:rPr>
          <w:rStyle w:val="ssens"/>
          <w:rFonts w:cs="Times New Roman"/>
          <w:szCs w:val="24"/>
        </w:rPr>
        <w:t>)</w:t>
      </w:r>
      <w:r w:rsidR="00592996">
        <w:rPr>
          <w:rStyle w:val="ssens"/>
          <w:rFonts w:cs="Times New Roman"/>
          <w:szCs w:val="24"/>
        </w:rPr>
        <w:t xml:space="preserve">.”  An example of withholding treatment would be </w:t>
      </w:r>
      <w:r w:rsidR="002B19C6">
        <w:rPr>
          <w:rStyle w:val="ssens"/>
          <w:rFonts w:cs="Times New Roman"/>
          <w:szCs w:val="24"/>
        </w:rPr>
        <w:t xml:space="preserve">that Mr. W. did not receive spiritual </w:t>
      </w:r>
      <w:r w:rsidR="002F692C">
        <w:rPr>
          <w:rStyle w:val="ssens"/>
          <w:rFonts w:cs="Times New Roman"/>
          <w:szCs w:val="24"/>
        </w:rPr>
        <w:t>or</w:t>
      </w:r>
      <w:r w:rsidR="002B19C6">
        <w:rPr>
          <w:rStyle w:val="ssens"/>
          <w:rFonts w:cs="Times New Roman"/>
          <w:szCs w:val="24"/>
        </w:rPr>
        <w:t xml:space="preserve"> social work support.</w:t>
      </w:r>
    </w:p>
    <w:p w:rsidR="00475399" w:rsidRDefault="00475399" w:rsidP="003A4B95">
      <w:pPr>
        <w:pStyle w:val="APABody"/>
        <w:ind w:left="-720"/>
        <w:jc w:val="both"/>
        <w:rPr>
          <w:b/>
        </w:rPr>
      </w:pPr>
      <w:r>
        <w:rPr>
          <w:b/>
        </w:rPr>
        <w:t>When can one stop artificial nutrition and hydration?</w:t>
      </w:r>
    </w:p>
    <w:p w:rsidR="007C5382" w:rsidRDefault="00A13E86" w:rsidP="00A13E86">
      <w:pPr>
        <w:pStyle w:val="APABody"/>
        <w:jc w:val="both"/>
      </w:pPr>
      <w:r>
        <w:lastRenderedPageBreak/>
        <w:t xml:space="preserve">According to Anderson, Hunt, Chaitin, and Arnold (2007), </w:t>
      </w:r>
    </w:p>
    <w:p w:rsidR="00C13CDC" w:rsidRDefault="007C5382" w:rsidP="00532E89">
      <w:pPr>
        <w:pStyle w:val="APABody"/>
        <w:jc w:val="both"/>
      </w:pPr>
      <w:r>
        <w:tab/>
      </w:r>
      <w:r w:rsidR="00A13E86">
        <w:t>The primary factor driving decision-making process should be patient self-</w:t>
      </w:r>
      <w:r>
        <w:tab/>
      </w:r>
      <w:r>
        <w:tab/>
      </w:r>
      <w:r>
        <w:tab/>
      </w:r>
      <w:r>
        <w:tab/>
      </w:r>
      <w:r w:rsidR="00A13E86">
        <w:t>determination, or autonomy</w:t>
      </w:r>
      <w:r>
        <w:t xml:space="preserve">…Patients or their surrogates and clinicians should </w:t>
      </w:r>
      <w:r>
        <w:tab/>
      </w:r>
      <w:r>
        <w:tab/>
      </w:r>
      <w:r>
        <w:tab/>
        <w:t xml:space="preserve">engage in a shared decision making process to promote the patient the patient’s </w:t>
      </w:r>
      <w:r>
        <w:tab/>
      </w:r>
      <w:r>
        <w:tab/>
      </w:r>
      <w:r>
        <w:tab/>
        <w:t xml:space="preserve">health and autonomy…The patient or surrogate has the authority to accept or </w:t>
      </w:r>
      <w:r>
        <w:tab/>
      </w:r>
      <w:r>
        <w:tab/>
      </w:r>
      <w:r>
        <w:tab/>
        <w:t>reject the treatment plan. (p. 251)</w:t>
      </w:r>
    </w:p>
    <w:p w:rsidR="00671501" w:rsidRPr="00671501" w:rsidRDefault="00671501" w:rsidP="00C13CDC">
      <w:pPr>
        <w:pStyle w:val="APABody"/>
        <w:ind w:left="-720"/>
        <w:jc w:val="both"/>
      </w:pPr>
      <w:r>
        <w:t xml:space="preserve">Essentially the decision to stop artificial nutrition and hydration occurs when the patient </w:t>
      </w:r>
      <w:r w:rsidR="0097361D">
        <w:t xml:space="preserve">                                      </w:t>
      </w:r>
      <w:r w:rsidR="00711B04">
        <w:tab/>
      </w:r>
      <w:r w:rsidR="0097361D">
        <w:t xml:space="preserve">or surrogate decides it is time.  It is up to the physician to explain to the patient and surrogate </w:t>
      </w:r>
      <w:r w:rsidR="00711B04">
        <w:tab/>
      </w:r>
      <w:r w:rsidR="0097361D">
        <w:t>why it might be in the patient’s best interest to withdraw nutrition and hydration.</w:t>
      </w:r>
    </w:p>
    <w:p w:rsidR="00475399" w:rsidRDefault="00475399" w:rsidP="003A4B95">
      <w:pPr>
        <w:pStyle w:val="APABody"/>
        <w:ind w:left="-720"/>
        <w:jc w:val="both"/>
        <w:rPr>
          <w:b/>
        </w:rPr>
      </w:pPr>
      <w:r>
        <w:rPr>
          <w:b/>
        </w:rPr>
        <w:t xml:space="preserve">Discuss why the outcome of the case study (the feeding tube withdrawn) is ethical </w:t>
      </w:r>
      <w:r>
        <w:rPr>
          <w:b/>
        </w:rPr>
        <w:tab/>
      </w:r>
      <w:r>
        <w:rPr>
          <w:b/>
        </w:rPr>
        <w:tab/>
      </w:r>
      <w:r>
        <w:rPr>
          <w:b/>
        </w:rPr>
        <w:tab/>
        <w:t>and acceptable.</w:t>
      </w:r>
    </w:p>
    <w:p w:rsidR="00446CCC" w:rsidRDefault="00703284" w:rsidP="003A4B95">
      <w:pPr>
        <w:pStyle w:val="APABody"/>
        <w:ind w:left="-720"/>
        <w:jc w:val="both"/>
      </w:pPr>
      <w:r>
        <w:rPr>
          <w:b/>
        </w:rPr>
        <w:tab/>
      </w:r>
      <w:r w:rsidR="001E2A22">
        <w:t xml:space="preserve">According to Anderson, Hunt, Chaitin &amp; Arnold (2007), </w:t>
      </w:r>
    </w:p>
    <w:p w:rsidR="00703284" w:rsidRDefault="00446CCC" w:rsidP="003A4B95">
      <w:pPr>
        <w:pStyle w:val="APABody"/>
        <w:ind w:left="-720"/>
        <w:jc w:val="both"/>
      </w:pPr>
      <w:r>
        <w:tab/>
      </w:r>
      <w:r>
        <w:tab/>
      </w:r>
      <w:r w:rsidR="001E2A22">
        <w:t xml:space="preserve">Observational studies have </w:t>
      </w:r>
      <w:r w:rsidR="001E2A22">
        <w:tab/>
        <w:t xml:space="preserve">shown that tube feeding does not prolong life…now </w:t>
      </w:r>
      <w:r>
        <w:tab/>
      </w:r>
      <w:r>
        <w:tab/>
      </w:r>
      <w:r>
        <w:tab/>
      </w:r>
      <w:r w:rsidR="001E2A22">
        <w:t>has it shown to decrease aspiration</w:t>
      </w:r>
      <w:r>
        <w:t xml:space="preserve"> </w:t>
      </w:r>
      <w:r>
        <w:tab/>
        <w:t xml:space="preserve">pneumonia, skin breakdown, or infections or </w:t>
      </w:r>
      <w:r>
        <w:tab/>
      </w:r>
      <w:r>
        <w:tab/>
      </w:r>
      <w:r>
        <w:tab/>
        <w:t xml:space="preserve">to increase functional status.  In fact, observational studies indicate that tube </w:t>
      </w:r>
      <w:r>
        <w:tab/>
      </w:r>
      <w:r>
        <w:tab/>
      </w:r>
      <w:r>
        <w:tab/>
      </w:r>
      <w:r>
        <w:tab/>
        <w:t xml:space="preserve">feedings may increase aspiration…The tube itself may be a source of discomfort, </w:t>
      </w:r>
      <w:r>
        <w:tab/>
      </w:r>
      <w:r>
        <w:tab/>
      </w:r>
      <w:r>
        <w:tab/>
      </w:r>
      <w:r>
        <w:tab/>
        <w:t xml:space="preserve">and patients with feeding tubes require more chemical and physical restraints. (p. </w:t>
      </w:r>
      <w:r>
        <w:tab/>
      </w:r>
      <w:r>
        <w:tab/>
      </w:r>
      <w:r>
        <w:tab/>
      </w:r>
      <w:r>
        <w:tab/>
        <w:t>259)</w:t>
      </w:r>
    </w:p>
    <w:p w:rsidR="00446CCC" w:rsidRPr="001E2A22" w:rsidRDefault="00446CCC" w:rsidP="003A4B95">
      <w:pPr>
        <w:pStyle w:val="APABody"/>
        <w:ind w:left="-720"/>
        <w:jc w:val="both"/>
      </w:pPr>
      <w:r>
        <w:t xml:space="preserve">The benefits of removing the feeding tube far outweigh the risks of leaving it in.  It is also in </w:t>
      </w:r>
      <w:r>
        <w:tab/>
        <w:t>alignment with Mr. W.’s goals of care.</w:t>
      </w:r>
    </w:p>
    <w:p w:rsidR="00475399" w:rsidRDefault="00475399" w:rsidP="003A4B95">
      <w:pPr>
        <w:pStyle w:val="APABody"/>
        <w:ind w:left="-720"/>
        <w:jc w:val="both"/>
        <w:rPr>
          <w:b/>
        </w:rPr>
      </w:pPr>
      <w:r>
        <w:rPr>
          <w:b/>
        </w:rPr>
        <w:t>Define palliative sedation; when is it used and why?</w:t>
      </w:r>
    </w:p>
    <w:p w:rsidR="00752557" w:rsidRPr="00752557" w:rsidRDefault="00752557" w:rsidP="003A4B95">
      <w:pPr>
        <w:pStyle w:val="APABody"/>
        <w:ind w:left="-720"/>
        <w:jc w:val="both"/>
      </w:pPr>
      <w:r>
        <w:rPr>
          <w:b/>
        </w:rPr>
        <w:tab/>
      </w:r>
      <w:r>
        <w:t xml:space="preserve">Palliative sedation, according to Anderson, Hunt, Chaitin &amp; Arnold (2007), “…the </w:t>
      </w:r>
      <w:r>
        <w:tab/>
        <w:t xml:space="preserve">patient is sedated to the point of unconsciousness for palliative relief (p. 301).”  It is used </w:t>
      </w:r>
      <w:r w:rsidR="001A2103">
        <w:t xml:space="preserve">as a </w:t>
      </w:r>
      <w:r w:rsidR="001A2103">
        <w:lastRenderedPageBreak/>
        <w:tab/>
        <w:t xml:space="preserve">last resort when all other attempts of relieving suffering have been tried and failed.  This method </w:t>
      </w:r>
      <w:r w:rsidR="001A2103">
        <w:tab/>
        <w:t>is used to stop intractable pain or suffering during end-of-life care.</w:t>
      </w:r>
      <w:r w:rsidR="005275C4">
        <w:t xml:space="preserve"> (Anderson, et. al., 2007)</w:t>
      </w:r>
    </w:p>
    <w:p w:rsidR="00475399" w:rsidRDefault="00475399" w:rsidP="008A43C1">
      <w:pPr>
        <w:pStyle w:val="APABody"/>
        <w:ind w:left="-720"/>
        <w:jc w:val="both"/>
        <w:rPr>
          <w:b/>
        </w:rPr>
      </w:pPr>
      <w:r>
        <w:rPr>
          <w:b/>
        </w:rPr>
        <w:t>How does sedation differ from physician-assisted suicide?</w:t>
      </w:r>
    </w:p>
    <w:p w:rsidR="00ED4096" w:rsidRDefault="00ED4096" w:rsidP="00ED4096">
      <w:pPr>
        <w:pStyle w:val="APABody"/>
        <w:numPr>
          <w:ilvl w:val="0"/>
          <w:numId w:val="1"/>
        </w:numPr>
        <w:jc w:val="both"/>
      </w:pPr>
      <w:r>
        <w:t xml:space="preserve">Sedation:  </w:t>
      </w:r>
      <w:r w:rsidR="00430666">
        <w:t>“…the reduction of irritability or agitation by administration of sedative drugs, generally to facilitate a medical procedure or diagnostic procedure.  Drugs which can be used for sedation include propofol, etomidate, ketamine, fentanyl, and midazolam (Sedation, 2011).”</w:t>
      </w:r>
      <w:r w:rsidR="00EE372B">
        <w:t xml:space="preserve">  The patient does not die from sedation.  The patient is made comfortable.</w:t>
      </w:r>
    </w:p>
    <w:p w:rsidR="00ED4096" w:rsidRPr="00ED4096" w:rsidRDefault="00ED4096" w:rsidP="00ED4096">
      <w:pPr>
        <w:pStyle w:val="APABody"/>
        <w:numPr>
          <w:ilvl w:val="0"/>
          <w:numId w:val="1"/>
        </w:numPr>
        <w:jc w:val="both"/>
      </w:pPr>
      <w:r>
        <w:t>Physician-assisted suicide:</w:t>
      </w:r>
      <w:r w:rsidR="00430666">
        <w:t xml:space="preserve">  “…is the common term for actions by which an individual helps another person voluntarily bring</w:t>
      </w:r>
      <w:r w:rsidR="00EE372B">
        <w:t>s</w:t>
      </w:r>
      <w:r w:rsidR="00430666">
        <w:t xml:space="preserve"> about their own death (Physician</w:t>
      </w:r>
      <w:r w:rsidR="00AB6886">
        <w:t xml:space="preserve">-Assisted </w:t>
      </w:r>
      <w:r w:rsidR="006C252F">
        <w:t>S</w:t>
      </w:r>
      <w:r w:rsidR="00AB6886">
        <w:t>uicide, 2011)</w:t>
      </w:r>
      <w:bookmarkStart w:id="0" w:name="CurLocation"/>
      <w:bookmarkEnd w:id="0"/>
      <w:r w:rsidR="00EE372B">
        <w:t>.”  The patient takes a lethal dose of medication to kill himself.  The medication is prescribed by a doctor.</w:t>
      </w:r>
    </w:p>
    <w:p w:rsidR="008A43C1" w:rsidRPr="00475399" w:rsidRDefault="008A43C1" w:rsidP="008A43C1">
      <w:pPr>
        <w:pStyle w:val="APABody"/>
        <w:jc w:val="both"/>
        <w:rPr>
          <w:b/>
        </w:rPr>
      </w:pPr>
    </w:p>
    <w:p w:rsidR="00CB4B7D" w:rsidRDefault="00CB4B7D" w:rsidP="00CB4B7D">
      <w:pPr>
        <w:pStyle w:val="APABody"/>
      </w:pPr>
    </w:p>
    <w:p w:rsidR="00CB4B7D" w:rsidRDefault="00B067A5" w:rsidP="00CB4B7D">
      <w:pPr>
        <w:pStyle w:val="APABody"/>
      </w:pPr>
      <w:r w:rsidRPr="00B067A5">
        <w:t xml:space="preserve"> </w:t>
      </w:r>
    </w:p>
    <w:p w:rsidR="00CB4B7D" w:rsidRDefault="00CB4B7D" w:rsidP="00CB4B7D">
      <w:pPr>
        <w:pStyle w:val="APABody"/>
      </w:pPr>
      <w:r>
        <w:br w:type="page"/>
      </w:r>
    </w:p>
    <w:p w:rsidR="00CB4B7D" w:rsidRDefault="00CB4B7D" w:rsidP="00CB4B7D">
      <w:pPr>
        <w:pStyle w:val="APACenteredText"/>
      </w:pPr>
      <w:r>
        <w:lastRenderedPageBreak/>
        <w:t>References</w:t>
      </w:r>
    </w:p>
    <w:p w:rsidR="00AB6886" w:rsidRPr="005275C4" w:rsidRDefault="00AB6886" w:rsidP="00CB4B7D">
      <w:pPr>
        <w:pStyle w:val="References"/>
      </w:pPr>
      <w:bookmarkStart w:id="1" w:name="ReferencesBookmark"/>
      <w:r>
        <w:rPr>
          <w:vanish/>
        </w:rPr>
        <w:t>Anderson W G Hunt S Chaitin E Arnold R M 2007 Palliative care:  Core skills and clinical competencies</w:t>
      </w:r>
      <w:r>
        <w:t xml:space="preserve">Anderson, W. G., Hunt, S., Chaitin, E., &amp; Arnold, R. M. (2007). Withholding and withdrawing life-sustaining therapies. In </w:t>
      </w:r>
      <w:r>
        <w:rPr>
          <w:i/>
        </w:rPr>
        <w:t>Palliative care:  Core skills and clinical competencies</w:t>
      </w:r>
      <w:r>
        <w:t xml:space="preserve"> (First ed., pp. 249-266). </w:t>
      </w:r>
      <w:r w:rsidR="00534043">
        <w:t>Philadelphia</w:t>
      </w:r>
      <w:r>
        <w:t>, PA: Saunders Elsevier.</w:t>
      </w:r>
    </w:p>
    <w:p w:rsidR="00AB6886" w:rsidRPr="00ED5126" w:rsidRDefault="00AB6886" w:rsidP="00CB4B7D">
      <w:pPr>
        <w:pStyle w:val="References"/>
      </w:pPr>
      <w:r>
        <w:rPr>
          <w:vanish/>
        </w:rPr>
        <w:t>Derse A R 2007 Palliative care: Core skills and clinical competencies</w:t>
      </w:r>
      <w:r>
        <w:t xml:space="preserve">Derse, A. R. (2007). Legal and ethical issues in the United States. In </w:t>
      </w:r>
      <w:r>
        <w:rPr>
          <w:i/>
        </w:rPr>
        <w:t>Palliative care: Core skills and clinical competencies</w:t>
      </w:r>
      <w:r>
        <w:t xml:space="preserve"> (First ed., pp. 294-303). Philadelphia, PA: Saunders Elsevier.</w:t>
      </w:r>
    </w:p>
    <w:p w:rsidR="00AB6886" w:rsidRPr="00435458" w:rsidRDefault="00AB6886" w:rsidP="00CB4B7D">
      <w:pPr>
        <w:pStyle w:val="References"/>
      </w:pPr>
      <w:r>
        <w:rPr>
          <w:vanish/>
        </w:rPr>
        <w:t>Norlander L 2008 To comfort always:  A nurses guide to end of life care.</w:t>
      </w:r>
      <w:r>
        <w:t xml:space="preserve">Norlander, L. (2008). </w:t>
      </w:r>
      <w:r>
        <w:rPr>
          <w:i/>
        </w:rPr>
        <w:t xml:space="preserve">To comfort always:  A </w:t>
      </w:r>
      <w:r w:rsidR="00534043">
        <w:rPr>
          <w:i/>
        </w:rPr>
        <w:t>nurse’s</w:t>
      </w:r>
      <w:r>
        <w:rPr>
          <w:i/>
        </w:rPr>
        <w:t xml:space="preserve"> guide to end of life care.</w:t>
      </w:r>
      <w:r>
        <w:t xml:space="preserve"> (First ed.). Indianapolis, IN: Sigma Theta Tau International.</w:t>
      </w:r>
    </w:p>
    <w:p w:rsidR="00AB6886" w:rsidRPr="00AB6886" w:rsidRDefault="00AB6886" w:rsidP="00CB4B7D">
      <w:pPr>
        <w:pStyle w:val="References"/>
      </w:pPr>
      <w:r>
        <w:rPr>
          <w:vanish/>
        </w:rPr>
        <w:t>Physician-Assisted Suicide 03/1</w:t>
      </w:r>
      <w:r>
        <w:t xml:space="preserve">Physician-Assisted Suicide. (2011, March 1). In </w:t>
      </w:r>
      <w:r>
        <w:rPr>
          <w:i/>
        </w:rPr>
        <w:t xml:space="preserve">Wikipedia, the free encyclopedia. </w:t>
      </w:r>
      <w:r>
        <w:t>Retrieved March 13, 2011, http://en.wikipedia.org/wiki/Physician-assisted_suicide</w:t>
      </w:r>
    </w:p>
    <w:p w:rsidR="00AB6886" w:rsidRPr="00AB6886" w:rsidRDefault="00AB6886" w:rsidP="00CB4B7D">
      <w:pPr>
        <w:pStyle w:val="References"/>
      </w:pPr>
      <w:r>
        <w:rPr>
          <w:vanish/>
        </w:rPr>
        <w:t>Physician-Assisted Suicide 20110313</w:t>
      </w:r>
      <w:r>
        <w:t xml:space="preserve">Physician-Assisted Suicide. (2011, March 13). In </w:t>
      </w:r>
      <w:r>
        <w:rPr>
          <w:i/>
        </w:rPr>
        <w:t xml:space="preserve">Wikipedia, the free encyclopedia. </w:t>
      </w:r>
      <w:r>
        <w:t>Retrieved March 13, 2011, http://en.wikipedia.org/wiki/Physician-assisted_suicide</w:t>
      </w:r>
    </w:p>
    <w:p w:rsidR="00AB6886" w:rsidRPr="00430666" w:rsidRDefault="00AB6886" w:rsidP="00CB4B7D">
      <w:pPr>
        <w:pStyle w:val="References"/>
      </w:pPr>
      <w:r>
        <w:rPr>
          <w:vanish/>
        </w:rPr>
        <w:t>Sedation 20110301</w:t>
      </w:r>
      <w:r>
        <w:t xml:space="preserve">Sedation. (2011, March 1). In </w:t>
      </w:r>
      <w:r>
        <w:rPr>
          <w:i/>
        </w:rPr>
        <w:t xml:space="preserve">Wikipedia, the free encyclopedia. </w:t>
      </w:r>
      <w:r>
        <w:t>Retrieved March 13, 2011, http://en.wikipedia.org/wiki/Sedation</w:t>
      </w:r>
    </w:p>
    <w:p w:rsidR="00AB6886" w:rsidRDefault="00AB6886" w:rsidP="00CB4B7D">
      <w:pPr>
        <w:pStyle w:val="References"/>
      </w:pPr>
      <w:r>
        <w:rPr>
          <w:vanish/>
        </w:rPr>
        <w:t>Withdraw 20110312</w:t>
      </w:r>
      <w:r>
        <w:t xml:space="preserve">Withdraw. (n.d.). In </w:t>
      </w:r>
      <w:r>
        <w:rPr>
          <w:i/>
        </w:rPr>
        <w:t xml:space="preserve">Merriam-Webster. </w:t>
      </w:r>
      <w:r>
        <w:t xml:space="preserve">Retrieved March 12, 2011 </w:t>
      </w:r>
      <w:r w:rsidR="00534043">
        <w:t xml:space="preserve">from </w:t>
      </w:r>
      <w:hyperlink r:id="rId8" w:history="1">
        <w:r w:rsidRPr="00C5249E">
          <w:rPr>
            <w:rStyle w:val="Hyperlink"/>
          </w:rPr>
          <w:t>http://www.merriam-webster.com/dictionary/withdraw</w:t>
        </w:r>
      </w:hyperlink>
      <w:r>
        <w:t xml:space="preserve">. </w:t>
      </w:r>
    </w:p>
    <w:p w:rsidR="00AB6886" w:rsidRPr="00C64360" w:rsidRDefault="00AB6886" w:rsidP="00CB4B7D">
      <w:pPr>
        <w:pStyle w:val="References"/>
      </w:pPr>
      <w:r>
        <w:t xml:space="preserve">Withhold. (n.d.). In Encyclopedia.com.  Retrieved March 13, 2011 from </w:t>
      </w:r>
      <w:hyperlink r:id="rId9" w:history="1">
        <w:r w:rsidRPr="00C5249E">
          <w:rPr>
            <w:rStyle w:val="Hyperlink"/>
          </w:rPr>
          <w:t>http://www.encyclopedia.com/doc/1027-withhold.html</w:t>
        </w:r>
      </w:hyperlink>
      <w:r>
        <w:t xml:space="preserve">. </w:t>
      </w:r>
    </w:p>
    <w:bookmarkEnd w:id="1"/>
    <w:p w:rsidR="00B067A5" w:rsidRPr="00B067A5" w:rsidRDefault="00CB4B7D" w:rsidP="00CB4B7D">
      <w:pPr>
        <w:pStyle w:val="APABody"/>
      </w:pPr>
      <w:r>
        <w:br w:type="page"/>
      </w:r>
    </w:p>
    <w:sectPr w:rsidR="00B067A5" w:rsidRPr="00B067A5" w:rsidSect="00CB4B7D">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028" w:rsidRDefault="00E22028" w:rsidP="00B32BB6">
      <w:pPr>
        <w:spacing w:line="240" w:lineRule="auto"/>
      </w:pPr>
      <w:r>
        <w:separator/>
      </w:r>
    </w:p>
  </w:endnote>
  <w:endnote w:type="continuationSeparator" w:id="0">
    <w:p w:rsidR="00E22028" w:rsidRDefault="00E22028" w:rsidP="00B32B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028" w:rsidRDefault="00E22028" w:rsidP="00B32BB6">
      <w:pPr>
        <w:spacing w:line="240" w:lineRule="auto"/>
      </w:pPr>
      <w:r>
        <w:separator/>
      </w:r>
    </w:p>
  </w:footnote>
  <w:footnote w:type="continuationSeparator" w:id="0">
    <w:p w:rsidR="00E22028" w:rsidRDefault="00E22028" w:rsidP="00B32BB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B7D" w:rsidRPr="00CB4B7D" w:rsidRDefault="00CB4B7D" w:rsidP="00CB4B7D">
    <w:pPr>
      <w:pStyle w:val="APAHeader"/>
      <w:tabs>
        <w:tab w:val="right" w:pos="9360"/>
      </w:tabs>
    </w:pPr>
    <w:r>
      <w:t>ROTH MOD 4</w:t>
    </w:r>
    <w:r>
      <w:tab/>
    </w:r>
    <w:fldSimple w:instr=" PAGE  \* MERGEFORMAT ">
      <w:r w:rsidR="00B84B68">
        <w:rPr>
          <w:noProof/>
        </w:rPr>
        <w:t>5</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B7D" w:rsidRPr="00CB4B7D" w:rsidRDefault="00CB4B7D" w:rsidP="00CB4B7D">
    <w:pPr>
      <w:pStyle w:val="APAHeader"/>
      <w:tabs>
        <w:tab w:val="right" w:pos="9360"/>
      </w:tabs>
    </w:pPr>
    <w:r>
      <w:t>Running head: ROTH MOD 4</w:t>
    </w:r>
    <w:r>
      <w:tab/>
    </w:r>
    <w:fldSimple w:instr=" PAGE  \* MERGEFORMAT ">
      <w:r w:rsidR="00B84B68">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3006"/>
    <w:multiLevelType w:val="hybridMultilevel"/>
    <w:tmpl w:val="53008AAE"/>
    <w:lvl w:ilvl="0" w:tplc="40AC91BC">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attachedTemplate r:id="rId1"/>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rpsAdvancedSort" w:val="True"/>
    <w:docVar w:name="rpsAutoSort" w:val="True"/>
    <w:docVar w:name="rpsCitationList" w:val="|Wikipedia(2011)|Medical Ethics(2011)|Derse(2007)|Norlander(2008)|Withdraw(2011)|Anderson, Hunt, Chaitin, Arnold(2007)|Sedation(2011)|Physician-Assisted Suicide(2011)|Physician-Assisted Suicide(2011)|"/>
    <w:docVar w:name="rpsInsertCitation" w:val="True"/>
    <w:docVar w:name="rpsReferencePageCreated" w:val="True"/>
    <w:docVar w:name="rpsSaveCitation" w:val="True"/>
  </w:docVars>
  <w:rsids>
    <w:rsidRoot w:val="005264BF"/>
    <w:rsid w:val="00001605"/>
    <w:rsid w:val="000045D4"/>
    <w:rsid w:val="00004D04"/>
    <w:rsid w:val="00005BC0"/>
    <w:rsid w:val="00007E24"/>
    <w:rsid w:val="00011D3E"/>
    <w:rsid w:val="00013431"/>
    <w:rsid w:val="000143E9"/>
    <w:rsid w:val="00014CF8"/>
    <w:rsid w:val="00014ED4"/>
    <w:rsid w:val="000153A1"/>
    <w:rsid w:val="00016099"/>
    <w:rsid w:val="00016A76"/>
    <w:rsid w:val="00016C0D"/>
    <w:rsid w:val="000179AE"/>
    <w:rsid w:val="000223F0"/>
    <w:rsid w:val="000237AC"/>
    <w:rsid w:val="0002593A"/>
    <w:rsid w:val="00025DEB"/>
    <w:rsid w:val="000276CD"/>
    <w:rsid w:val="00030204"/>
    <w:rsid w:val="0003040F"/>
    <w:rsid w:val="00030FBF"/>
    <w:rsid w:val="00040695"/>
    <w:rsid w:val="0004070C"/>
    <w:rsid w:val="000411EC"/>
    <w:rsid w:val="00042B54"/>
    <w:rsid w:val="00043611"/>
    <w:rsid w:val="00043805"/>
    <w:rsid w:val="000503E8"/>
    <w:rsid w:val="0005046C"/>
    <w:rsid w:val="00050E04"/>
    <w:rsid w:val="000514F7"/>
    <w:rsid w:val="000515F0"/>
    <w:rsid w:val="000529F2"/>
    <w:rsid w:val="0005568B"/>
    <w:rsid w:val="00057005"/>
    <w:rsid w:val="00060F15"/>
    <w:rsid w:val="00061412"/>
    <w:rsid w:val="00061498"/>
    <w:rsid w:val="00067091"/>
    <w:rsid w:val="0007086A"/>
    <w:rsid w:val="00070DE6"/>
    <w:rsid w:val="00072832"/>
    <w:rsid w:val="0007432E"/>
    <w:rsid w:val="00074C85"/>
    <w:rsid w:val="00074D48"/>
    <w:rsid w:val="0007725D"/>
    <w:rsid w:val="00082EC4"/>
    <w:rsid w:val="0008434F"/>
    <w:rsid w:val="000843A5"/>
    <w:rsid w:val="0008507C"/>
    <w:rsid w:val="00086E33"/>
    <w:rsid w:val="000910CC"/>
    <w:rsid w:val="000911AE"/>
    <w:rsid w:val="000916F4"/>
    <w:rsid w:val="00092B07"/>
    <w:rsid w:val="000933F6"/>
    <w:rsid w:val="00094375"/>
    <w:rsid w:val="000952AE"/>
    <w:rsid w:val="000A0A97"/>
    <w:rsid w:val="000A2023"/>
    <w:rsid w:val="000A2069"/>
    <w:rsid w:val="000A3E47"/>
    <w:rsid w:val="000A3F41"/>
    <w:rsid w:val="000A506F"/>
    <w:rsid w:val="000A5546"/>
    <w:rsid w:val="000A5C25"/>
    <w:rsid w:val="000A65FB"/>
    <w:rsid w:val="000A6C5E"/>
    <w:rsid w:val="000B0A9C"/>
    <w:rsid w:val="000B37DB"/>
    <w:rsid w:val="000B3899"/>
    <w:rsid w:val="000B3E80"/>
    <w:rsid w:val="000B78FB"/>
    <w:rsid w:val="000C005E"/>
    <w:rsid w:val="000C130A"/>
    <w:rsid w:val="000C18A3"/>
    <w:rsid w:val="000C1EB5"/>
    <w:rsid w:val="000C5E73"/>
    <w:rsid w:val="000C76FA"/>
    <w:rsid w:val="000C7B3D"/>
    <w:rsid w:val="000D0037"/>
    <w:rsid w:val="000D18AB"/>
    <w:rsid w:val="000D363F"/>
    <w:rsid w:val="000D4102"/>
    <w:rsid w:val="000D4325"/>
    <w:rsid w:val="000D532B"/>
    <w:rsid w:val="000D6359"/>
    <w:rsid w:val="000D687F"/>
    <w:rsid w:val="000D6BB3"/>
    <w:rsid w:val="000D7148"/>
    <w:rsid w:val="000E0FDD"/>
    <w:rsid w:val="000E22F5"/>
    <w:rsid w:val="000E252A"/>
    <w:rsid w:val="000E3707"/>
    <w:rsid w:val="000E3B59"/>
    <w:rsid w:val="000E5BC2"/>
    <w:rsid w:val="000F22D0"/>
    <w:rsid w:val="000F47A5"/>
    <w:rsid w:val="00104697"/>
    <w:rsid w:val="00106B35"/>
    <w:rsid w:val="00106D6B"/>
    <w:rsid w:val="001114AF"/>
    <w:rsid w:val="00112291"/>
    <w:rsid w:val="0011329A"/>
    <w:rsid w:val="001219A1"/>
    <w:rsid w:val="001222D8"/>
    <w:rsid w:val="0012480F"/>
    <w:rsid w:val="00125263"/>
    <w:rsid w:val="001278E0"/>
    <w:rsid w:val="00131CF6"/>
    <w:rsid w:val="0013278C"/>
    <w:rsid w:val="00132DD7"/>
    <w:rsid w:val="00134293"/>
    <w:rsid w:val="001355A1"/>
    <w:rsid w:val="00137741"/>
    <w:rsid w:val="00146EEC"/>
    <w:rsid w:val="00147066"/>
    <w:rsid w:val="0015035D"/>
    <w:rsid w:val="001519FB"/>
    <w:rsid w:val="00154A37"/>
    <w:rsid w:val="001557D3"/>
    <w:rsid w:val="00155DC4"/>
    <w:rsid w:val="001568E5"/>
    <w:rsid w:val="00163322"/>
    <w:rsid w:val="00163497"/>
    <w:rsid w:val="00163A5F"/>
    <w:rsid w:val="00166DFC"/>
    <w:rsid w:val="00171521"/>
    <w:rsid w:val="00171D5E"/>
    <w:rsid w:val="00172729"/>
    <w:rsid w:val="0017350F"/>
    <w:rsid w:val="001763B1"/>
    <w:rsid w:val="00182836"/>
    <w:rsid w:val="001852ED"/>
    <w:rsid w:val="00193252"/>
    <w:rsid w:val="001947BA"/>
    <w:rsid w:val="00196647"/>
    <w:rsid w:val="001971CF"/>
    <w:rsid w:val="0019737D"/>
    <w:rsid w:val="00197689"/>
    <w:rsid w:val="001A17E3"/>
    <w:rsid w:val="001A2103"/>
    <w:rsid w:val="001A2795"/>
    <w:rsid w:val="001A3806"/>
    <w:rsid w:val="001A4E16"/>
    <w:rsid w:val="001A6632"/>
    <w:rsid w:val="001A6B58"/>
    <w:rsid w:val="001A72B1"/>
    <w:rsid w:val="001A755C"/>
    <w:rsid w:val="001B0D4E"/>
    <w:rsid w:val="001B155D"/>
    <w:rsid w:val="001B3160"/>
    <w:rsid w:val="001B574A"/>
    <w:rsid w:val="001B60B8"/>
    <w:rsid w:val="001B791C"/>
    <w:rsid w:val="001C0213"/>
    <w:rsid w:val="001C2114"/>
    <w:rsid w:val="001C4BCF"/>
    <w:rsid w:val="001C6487"/>
    <w:rsid w:val="001C7E69"/>
    <w:rsid w:val="001D09EF"/>
    <w:rsid w:val="001D3407"/>
    <w:rsid w:val="001D5D7A"/>
    <w:rsid w:val="001D75CF"/>
    <w:rsid w:val="001E0437"/>
    <w:rsid w:val="001E0646"/>
    <w:rsid w:val="001E2A22"/>
    <w:rsid w:val="001E4519"/>
    <w:rsid w:val="001E4AFD"/>
    <w:rsid w:val="001E5DB6"/>
    <w:rsid w:val="001E7BD9"/>
    <w:rsid w:val="001F055C"/>
    <w:rsid w:val="001F158C"/>
    <w:rsid w:val="001F1758"/>
    <w:rsid w:val="001F1809"/>
    <w:rsid w:val="001F5EE8"/>
    <w:rsid w:val="001F697E"/>
    <w:rsid w:val="001F6B38"/>
    <w:rsid w:val="001F6FAF"/>
    <w:rsid w:val="001F7C9C"/>
    <w:rsid w:val="002028FE"/>
    <w:rsid w:val="00204AEE"/>
    <w:rsid w:val="00204FB9"/>
    <w:rsid w:val="00205B67"/>
    <w:rsid w:val="00207484"/>
    <w:rsid w:val="00212CAD"/>
    <w:rsid w:val="00213C19"/>
    <w:rsid w:val="00216AC5"/>
    <w:rsid w:val="002178C5"/>
    <w:rsid w:val="002231D9"/>
    <w:rsid w:val="00223B8B"/>
    <w:rsid w:val="00223D15"/>
    <w:rsid w:val="00225484"/>
    <w:rsid w:val="0022555A"/>
    <w:rsid w:val="00225F49"/>
    <w:rsid w:val="002270F5"/>
    <w:rsid w:val="0022782D"/>
    <w:rsid w:val="00231B77"/>
    <w:rsid w:val="002344FE"/>
    <w:rsid w:val="00235EA0"/>
    <w:rsid w:val="00236ADF"/>
    <w:rsid w:val="00236DBB"/>
    <w:rsid w:val="0024080B"/>
    <w:rsid w:val="00240DDF"/>
    <w:rsid w:val="00241D04"/>
    <w:rsid w:val="00241E56"/>
    <w:rsid w:val="00243E1B"/>
    <w:rsid w:val="002446DB"/>
    <w:rsid w:val="00247E5B"/>
    <w:rsid w:val="002506E8"/>
    <w:rsid w:val="0025250D"/>
    <w:rsid w:val="00254833"/>
    <w:rsid w:val="00254EC9"/>
    <w:rsid w:val="00256FBE"/>
    <w:rsid w:val="0025799C"/>
    <w:rsid w:val="0026250C"/>
    <w:rsid w:val="00263732"/>
    <w:rsid w:val="00266AF8"/>
    <w:rsid w:val="00266BDE"/>
    <w:rsid w:val="00270890"/>
    <w:rsid w:val="00270EF2"/>
    <w:rsid w:val="00271158"/>
    <w:rsid w:val="00271A7A"/>
    <w:rsid w:val="00273479"/>
    <w:rsid w:val="00273EB0"/>
    <w:rsid w:val="002749B5"/>
    <w:rsid w:val="00275FF8"/>
    <w:rsid w:val="00276F8C"/>
    <w:rsid w:val="002779F2"/>
    <w:rsid w:val="002818E7"/>
    <w:rsid w:val="0028254E"/>
    <w:rsid w:val="00284D57"/>
    <w:rsid w:val="00286EE2"/>
    <w:rsid w:val="002903BC"/>
    <w:rsid w:val="00295C88"/>
    <w:rsid w:val="00297030"/>
    <w:rsid w:val="002A002D"/>
    <w:rsid w:val="002A0C63"/>
    <w:rsid w:val="002A73C6"/>
    <w:rsid w:val="002B1592"/>
    <w:rsid w:val="002B19C6"/>
    <w:rsid w:val="002B73E4"/>
    <w:rsid w:val="002B74DE"/>
    <w:rsid w:val="002B7D1C"/>
    <w:rsid w:val="002C55B4"/>
    <w:rsid w:val="002C5A68"/>
    <w:rsid w:val="002C5C2B"/>
    <w:rsid w:val="002C6909"/>
    <w:rsid w:val="002C6A8F"/>
    <w:rsid w:val="002C7D1B"/>
    <w:rsid w:val="002D07F8"/>
    <w:rsid w:val="002D46DB"/>
    <w:rsid w:val="002D5D9E"/>
    <w:rsid w:val="002D654A"/>
    <w:rsid w:val="002D6747"/>
    <w:rsid w:val="002E12FC"/>
    <w:rsid w:val="002E1D34"/>
    <w:rsid w:val="002E4AB8"/>
    <w:rsid w:val="002E5B1D"/>
    <w:rsid w:val="002E685C"/>
    <w:rsid w:val="002F25A2"/>
    <w:rsid w:val="002F2F60"/>
    <w:rsid w:val="002F67BE"/>
    <w:rsid w:val="002F692C"/>
    <w:rsid w:val="00302C74"/>
    <w:rsid w:val="00303184"/>
    <w:rsid w:val="003156B0"/>
    <w:rsid w:val="00316014"/>
    <w:rsid w:val="00320BBA"/>
    <w:rsid w:val="00322A36"/>
    <w:rsid w:val="00324230"/>
    <w:rsid w:val="00327C89"/>
    <w:rsid w:val="00330492"/>
    <w:rsid w:val="003355C1"/>
    <w:rsid w:val="0034168B"/>
    <w:rsid w:val="0034457B"/>
    <w:rsid w:val="003449E8"/>
    <w:rsid w:val="00344A4B"/>
    <w:rsid w:val="00345F38"/>
    <w:rsid w:val="00347A4D"/>
    <w:rsid w:val="00355D4D"/>
    <w:rsid w:val="0035624B"/>
    <w:rsid w:val="00356CDE"/>
    <w:rsid w:val="0036121B"/>
    <w:rsid w:val="00361F36"/>
    <w:rsid w:val="0036254B"/>
    <w:rsid w:val="00363A87"/>
    <w:rsid w:val="0036460E"/>
    <w:rsid w:val="00365A15"/>
    <w:rsid w:val="00365D94"/>
    <w:rsid w:val="00376E84"/>
    <w:rsid w:val="003832FC"/>
    <w:rsid w:val="00383FF2"/>
    <w:rsid w:val="00384B74"/>
    <w:rsid w:val="00385609"/>
    <w:rsid w:val="00387815"/>
    <w:rsid w:val="00387F81"/>
    <w:rsid w:val="00390F5D"/>
    <w:rsid w:val="00396013"/>
    <w:rsid w:val="003A3030"/>
    <w:rsid w:val="003A3611"/>
    <w:rsid w:val="003A47D8"/>
    <w:rsid w:val="003A4B95"/>
    <w:rsid w:val="003A534A"/>
    <w:rsid w:val="003A5905"/>
    <w:rsid w:val="003A5B5D"/>
    <w:rsid w:val="003B4FC9"/>
    <w:rsid w:val="003C05E6"/>
    <w:rsid w:val="003C29E3"/>
    <w:rsid w:val="003C39A6"/>
    <w:rsid w:val="003C3A53"/>
    <w:rsid w:val="003C472D"/>
    <w:rsid w:val="003C64A8"/>
    <w:rsid w:val="003C757D"/>
    <w:rsid w:val="003D2E1D"/>
    <w:rsid w:val="003D45BA"/>
    <w:rsid w:val="003D4FA3"/>
    <w:rsid w:val="003D6E2C"/>
    <w:rsid w:val="003D7C26"/>
    <w:rsid w:val="003E098C"/>
    <w:rsid w:val="003E1CA8"/>
    <w:rsid w:val="003E272E"/>
    <w:rsid w:val="003E4370"/>
    <w:rsid w:val="003E5782"/>
    <w:rsid w:val="003E7723"/>
    <w:rsid w:val="003F0652"/>
    <w:rsid w:val="003F6A8B"/>
    <w:rsid w:val="003F750C"/>
    <w:rsid w:val="0040025F"/>
    <w:rsid w:val="00400648"/>
    <w:rsid w:val="00400DC6"/>
    <w:rsid w:val="004029A9"/>
    <w:rsid w:val="00405249"/>
    <w:rsid w:val="00405DA4"/>
    <w:rsid w:val="004071A3"/>
    <w:rsid w:val="004075A5"/>
    <w:rsid w:val="00414845"/>
    <w:rsid w:val="00414F77"/>
    <w:rsid w:val="00417F61"/>
    <w:rsid w:val="00424571"/>
    <w:rsid w:val="00425728"/>
    <w:rsid w:val="00425C44"/>
    <w:rsid w:val="0042655D"/>
    <w:rsid w:val="00427485"/>
    <w:rsid w:val="00430666"/>
    <w:rsid w:val="00430E50"/>
    <w:rsid w:val="00431D2B"/>
    <w:rsid w:val="004330A9"/>
    <w:rsid w:val="00434DC6"/>
    <w:rsid w:val="00435458"/>
    <w:rsid w:val="0043669E"/>
    <w:rsid w:val="00437F6F"/>
    <w:rsid w:val="00440BAB"/>
    <w:rsid w:val="0044281C"/>
    <w:rsid w:val="004443BB"/>
    <w:rsid w:val="00445D0B"/>
    <w:rsid w:val="00446CAC"/>
    <w:rsid w:val="00446CCC"/>
    <w:rsid w:val="00446E35"/>
    <w:rsid w:val="00447AD2"/>
    <w:rsid w:val="0045364B"/>
    <w:rsid w:val="0045570D"/>
    <w:rsid w:val="004564AC"/>
    <w:rsid w:val="004569B4"/>
    <w:rsid w:val="00462A48"/>
    <w:rsid w:val="0046327B"/>
    <w:rsid w:val="0046489D"/>
    <w:rsid w:val="004663C8"/>
    <w:rsid w:val="00467788"/>
    <w:rsid w:val="004721E5"/>
    <w:rsid w:val="00475399"/>
    <w:rsid w:val="00476DAE"/>
    <w:rsid w:val="0048332B"/>
    <w:rsid w:val="00483478"/>
    <w:rsid w:val="004834A5"/>
    <w:rsid w:val="00486C51"/>
    <w:rsid w:val="00486FD8"/>
    <w:rsid w:val="00493BA0"/>
    <w:rsid w:val="00495582"/>
    <w:rsid w:val="00495B83"/>
    <w:rsid w:val="004960FC"/>
    <w:rsid w:val="004A0237"/>
    <w:rsid w:val="004A0FC9"/>
    <w:rsid w:val="004A60F3"/>
    <w:rsid w:val="004B08D5"/>
    <w:rsid w:val="004B3346"/>
    <w:rsid w:val="004B35D3"/>
    <w:rsid w:val="004B44D6"/>
    <w:rsid w:val="004B6F2D"/>
    <w:rsid w:val="004C1BE8"/>
    <w:rsid w:val="004C2945"/>
    <w:rsid w:val="004C36CB"/>
    <w:rsid w:val="004C4E90"/>
    <w:rsid w:val="004C7755"/>
    <w:rsid w:val="004D1456"/>
    <w:rsid w:val="004D3722"/>
    <w:rsid w:val="004D43C7"/>
    <w:rsid w:val="004E1446"/>
    <w:rsid w:val="004E521D"/>
    <w:rsid w:val="004F4B2E"/>
    <w:rsid w:val="004F5321"/>
    <w:rsid w:val="004F5C3D"/>
    <w:rsid w:val="004F6C7E"/>
    <w:rsid w:val="00502CBA"/>
    <w:rsid w:val="0051004E"/>
    <w:rsid w:val="00512C8A"/>
    <w:rsid w:val="005144D8"/>
    <w:rsid w:val="005147CC"/>
    <w:rsid w:val="005150FC"/>
    <w:rsid w:val="005173DA"/>
    <w:rsid w:val="00521F9F"/>
    <w:rsid w:val="00523911"/>
    <w:rsid w:val="00524ADD"/>
    <w:rsid w:val="005264BF"/>
    <w:rsid w:val="005275C4"/>
    <w:rsid w:val="00532906"/>
    <w:rsid w:val="00532E89"/>
    <w:rsid w:val="00534043"/>
    <w:rsid w:val="0053595A"/>
    <w:rsid w:val="005416E0"/>
    <w:rsid w:val="00545232"/>
    <w:rsid w:val="00545A89"/>
    <w:rsid w:val="005502D2"/>
    <w:rsid w:val="00551715"/>
    <w:rsid w:val="0055216D"/>
    <w:rsid w:val="00553441"/>
    <w:rsid w:val="00553A16"/>
    <w:rsid w:val="00556069"/>
    <w:rsid w:val="00556495"/>
    <w:rsid w:val="0055755B"/>
    <w:rsid w:val="00561F3E"/>
    <w:rsid w:val="00563165"/>
    <w:rsid w:val="00563E5E"/>
    <w:rsid w:val="00564E30"/>
    <w:rsid w:val="0056619F"/>
    <w:rsid w:val="00566DE8"/>
    <w:rsid w:val="00571E01"/>
    <w:rsid w:val="0057265D"/>
    <w:rsid w:val="00574609"/>
    <w:rsid w:val="00574A3C"/>
    <w:rsid w:val="00574A92"/>
    <w:rsid w:val="00576CD3"/>
    <w:rsid w:val="0057719F"/>
    <w:rsid w:val="00577880"/>
    <w:rsid w:val="00584CF1"/>
    <w:rsid w:val="00590070"/>
    <w:rsid w:val="00592996"/>
    <w:rsid w:val="005943B5"/>
    <w:rsid w:val="005945C6"/>
    <w:rsid w:val="0059783A"/>
    <w:rsid w:val="005A0882"/>
    <w:rsid w:val="005A1E16"/>
    <w:rsid w:val="005A2388"/>
    <w:rsid w:val="005A2CB5"/>
    <w:rsid w:val="005A3018"/>
    <w:rsid w:val="005A55B3"/>
    <w:rsid w:val="005A5ACB"/>
    <w:rsid w:val="005A67EE"/>
    <w:rsid w:val="005B400C"/>
    <w:rsid w:val="005B41AE"/>
    <w:rsid w:val="005B5673"/>
    <w:rsid w:val="005C019A"/>
    <w:rsid w:val="005C2944"/>
    <w:rsid w:val="005C2E06"/>
    <w:rsid w:val="005C7C2B"/>
    <w:rsid w:val="005D4768"/>
    <w:rsid w:val="005D4854"/>
    <w:rsid w:val="005D6F34"/>
    <w:rsid w:val="005E0DA2"/>
    <w:rsid w:val="005E1D1D"/>
    <w:rsid w:val="005E1FB6"/>
    <w:rsid w:val="005E44AC"/>
    <w:rsid w:val="005E6D0C"/>
    <w:rsid w:val="005E7040"/>
    <w:rsid w:val="005E76B6"/>
    <w:rsid w:val="005F1BDD"/>
    <w:rsid w:val="005F1BF6"/>
    <w:rsid w:val="005F1EA7"/>
    <w:rsid w:val="005F1EFF"/>
    <w:rsid w:val="005F2B27"/>
    <w:rsid w:val="005F30FA"/>
    <w:rsid w:val="005F76BE"/>
    <w:rsid w:val="005F7ECF"/>
    <w:rsid w:val="00600391"/>
    <w:rsid w:val="00603D01"/>
    <w:rsid w:val="0060756D"/>
    <w:rsid w:val="00612D3C"/>
    <w:rsid w:val="00613A89"/>
    <w:rsid w:val="00613F2E"/>
    <w:rsid w:val="00616EC7"/>
    <w:rsid w:val="006177FF"/>
    <w:rsid w:val="00626D86"/>
    <w:rsid w:val="00627B10"/>
    <w:rsid w:val="00627EDB"/>
    <w:rsid w:val="0063070D"/>
    <w:rsid w:val="00631BFD"/>
    <w:rsid w:val="0063235A"/>
    <w:rsid w:val="00636FF7"/>
    <w:rsid w:val="00641E05"/>
    <w:rsid w:val="00642BA9"/>
    <w:rsid w:val="00644253"/>
    <w:rsid w:val="006453A7"/>
    <w:rsid w:val="00646450"/>
    <w:rsid w:val="00647CF4"/>
    <w:rsid w:val="00652D7E"/>
    <w:rsid w:val="00653FA4"/>
    <w:rsid w:val="00654434"/>
    <w:rsid w:val="00656629"/>
    <w:rsid w:val="00657AE7"/>
    <w:rsid w:val="00663615"/>
    <w:rsid w:val="00664D3C"/>
    <w:rsid w:val="00667E01"/>
    <w:rsid w:val="00671501"/>
    <w:rsid w:val="0067164D"/>
    <w:rsid w:val="00672697"/>
    <w:rsid w:val="0067287F"/>
    <w:rsid w:val="00676F1D"/>
    <w:rsid w:val="00677696"/>
    <w:rsid w:val="00681202"/>
    <w:rsid w:val="00682BA6"/>
    <w:rsid w:val="0068425E"/>
    <w:rsid w:val="00686226"/>
    <w:rsid w:val="00687357"/>
    <w:rsid w:val="0069290E"/>
    <w:rsid w:val="00693E7A"/>
    <w:rsid w:val="00694B4B"/>
    <w:rsid w:val="00696681"/>
    <w:rsid w:val="006A1735"/>
    <w:rsid w:val="006A3A7C"/>
    <w:rsid w:val="006A66D7"/>
    <w:rsid w:val="006B16DE"/>
    <w:rsid w:val="006B29B1"/>
    <w:rsid w:val="006B5FE8"/>
    <w:rsid w:val="006B6383"/>
    <w:rsid w:val="006C187C"/>
    <w:rsid w:val="006C252F"/>
    <w:rsid w:val="006C4CC5"/>
    <w:rsid w:val="006C5708"/>
    <w:rsid w:val="006C6689"/>
    <w:rsid w:val="006C7E37"/>
    <w:rsid w:val="006C7F74"/>
    <w:rsid w:val="006D231C"/>
    <w:rsid w:val="006D386B"/>
    <w:rsid w:val="006D5EB9"/>
    <w:rsid w:val="006E1171"/>
    <w:rsid w:val="006F12E6"/>
    <w:rsid w:val="006F1ADA"/>
    <w:rsid w:val="006F375C"/>
    <w:rsid w:val="006F419B"/>
    <w:rsid w:val="006F429C"/>
    <w:rsid w:val="006F563A"/>
    <w:rsid w:val="006F5D74"/>
    <w:rsid w:val="006F6468"/>
    <w:rsid w:val="00700DED"/>
    <w:rsid w:val="00700ED9"/>
    <w:rsid w:val="00703277"/>
    <w:rsid w:val="00703284"/>
    <w:rsid w:val="00705764"/>
    <w:rsid w:val="00706E47"/>
    <w:rsid w:val="00711250"/>
    <w:rsid w:val="00711B04"/>
    <w:rsid w:val="00713436"/>
    <w:rsid w:val="00720E36"/>
    <w:rsid w:val="00722B1E"/>
    <w:rsid w:val="0072572F"/>
    <w:rsid w:val="00731779"/>
    <w:rsid w:val="007323D2"/>
    <w:rsid w:val="007327DA"/>
    <w:rsid w:val="00733BDB"/>
    <w:rsid w:val="0073422D"/>
    <w:rsid w:val="00735209"/>
    <w:rsid w:val="007359C7"/>
    <w:rsid w:val="00735B73"/>
    <w:rsid w:val="007367F9"/>
    <w:rsid w:val="00741A51"/>
    <w:rsid w:val="0074347E"/>
    <w:rsid w:val="00744302"/>
    <w:rsid w:val="00746716"/>
    <w:rsid w:val="00746F8F"/>
    <w:rsid w:val="00747F28"/>
    <w:rsid w:val="0075145D"/>
    <w:rsid w:val="00752557"/>
    <w:rsid w:val="007525E6"/>
    <w:rsid w:val="0075681A"/>
    <w:rsid w:val="00763271"/>
    <w:rsid w:val="0076415B"/>
    <w:rsid w:val="007664BD"/>
    <w:rsid w:val="00766569"/>
    <w:rsid w:val="00767174"/>
    <w:rsid w:val="00767F0B"/>
    <w:rsid w:val="00770059"/>
    <w:rsid w:val="00770C3D"/>
    <w:rsid w:val="0077431F"/>
    <w:rsid w:val="0077541E"/>
    <w:rsid w:val="00775A5C"/>
    <w:rsid w:val="00777A5F"/>
    <w:rsid w:val="00780C71"/>
    <w:rsid w:val="007854F3"/>
    <w:rsid w:val="00790777"/>
    <w:rsid w:val="00791043"/>
    <w:rsid w:val="007913CA"/>
    <w:rsid w:val="00792992"/>
    <w:rsid w:val="00794EE1"/>
    <w:rsid w:val="00795BC1"/>
    <w:rsid w:val="00797092"/>
    <w:rsid w:val="0079751A"/>
    <w:rsid w:val="00797FCE"/>
    <w:rsid w:val="007A08BC"/>
    <w:rsid w:val="007A1446"/>
    <w:rsid w:val="007A1640"/>
    <w:rsid w:val="007A3CAE"/>
    <w:rsid w:val="007A7F20"/>
    <w:rsid w:val="007B1677"/>
    <w:rsid w:val="007B3338"/>
    <w:rsid w:val="007B6107"/>
    <w:rsid w:val="007B626D"/>
    <w:rsid w:val="007B68ED"/>
    <w:rsid w:val="007B6AF5"/>
    <w:rsid w:val="007C3758"/>
    <w:rsid w:val="007C3F4F"/>
    <w:rsid w:val="007C5382"/>
    <w:rsid w:val="007D09A1"/>
    <w:rsid w:val="007D0B50"/>
    <w:rsid w:val="007D1C6D"/>
    <w:rsid w:val="007D3CDE"/>
    <w:rsid w:val="007D3F24"/>
    <w:rsid w:val="007D45A4"/>
    <w:rsid w:val="007D5D19"/>
    <w:rsid w:val="007D6C90"/>
    <w:rsid w:val="007D74FE"/>
    <w:rsid w:val="007E037B"/>
    <w:rsid w:val="007E411E"/>
    <w:rsid w:val="007E678D"/>
    <w:rsid w:val="007F0FEA"/>
    <w:rsid w:val="007F27B3"/>
    <w:rsid w:val="007F4CC0"/>
    <w:rsid w:val="007F5DCE"/>
    <w:rsid w:val="007F6E46"/>
    <w:rsid w:val="007F7F38"/>
    <w:rsid w:val="00802ACA"/>
    <w:rsid w:val="00803890"/>
    <w:rsid w:val="00803DF4"/>
    <w:rsid w:val="008051DD"/>
    <w:rsid w:val="008056B2"/>
    <w:rsid w:val="0080576A"/>
    <w:rsid w:val="0080671D"/>
    <w:rsid w:val="0081229B"/>
    <w:rsid w:val="00814F05"/>
    <w:rsid w:val="00815B13"/>
    <w:rsid w:val="00817979"/>
    <w:rsid w:val="00820EDB"/>
    <w:rsid w:val="00821E23"/>
    <w:rsid w:val="00821F30"/>
    <w:rsid w:val="008226CA"/>
    <w:rsid w:val="00822A7A"/>
    <w:rsid w:val="00822FA5"/>
    <w:rsid w:val="008247AB"/>
    <w:rsid w:val="00824CD0"/>
    <w:rsid w:val="00834AF9"/>
    <w:rsid w:val="0083539C"/>
    <w:rsid w:val="00837BC0"/>
    <w:rsid w:val="0084045C"/>
    <w:rsid w:val="00843648"/>
    <w:rsid w:val="00843C43"/>
    <w:rsid w:val="008441D9"/>
    <w:rsid w:val="00847138"/>
    <w:rsid w:val="00847962"/>
    <w:rsid w:val="00851DEA"/>
    <w:rsid w:val="00852776"/>
    <w:rsid w:val="00852C9C"/>
    <w:rsid w:val="00857B0F"/>
    <w:rsid w:val="008613AD"/>
    <w:rsid w:val="0086179A"/>
    <w:rsid w:val="00862393"/>
    <w:rsid w:val="00862B41"/>
    <w:rsid w:val="00863EA7"/>
    <w:rsid w:val="00864459"/>
    <w:rsid w:val="00867F54"/>
    <w:rsid w:val="0087109E"/>
    <w:rsid w:val="008768FF"/>
    <w:rsid w:val="00876EC5"/>
    <w:rsid w:val="00880A4A"/>
    <w:rsid w:val="00880E25"/>
    <w:rsid w:val="00882852"/>
    <w:rsid w:val="00884635"/>
    <w:rsid w:val="00885761"/>
    <w:rsid w:val="00885F8C"/>
    <w:rsid w:val="00890355"/>
    <w:rsid w:val="008909D5"/>
    <w:rsid w:val="0089179E"/>
    <w:rsid w:val="0089228D"/>
    <w:rsid w:val="00893BF5"/>
    <w:rsid w:val="008940EA"/>
    <w:rsid w:val="00894470"/>
    <w:rsid w:val="00895EA1"/>
    <w:rsid w:val="00896769"/>
    <w:rsid w:val="00897B80"/>
    <w:rsid w:val="008A06B4"/>
    <w:rsid w:val="008A0951"/>
    <w:rsid w:val="008A0A30"/>
    <w:rsid w:val="008A15FD"/>
    <w:rsid w:val="008A1AE7"/>
    <w:rsid w:val="008A43C1"/>
    <w:rsid w:val="008A5ADB"/>
    <w:rsid w:val="008B1A52"/>
    <w:rsid w:val="008B296A"/>
    <w:rsid w:val="008B332E"/>
    <w:rsid w:val="008C2124"/>
    <w:rsid w:val="008C5A2E"/>
    <w:rsid w:val="008C75FF"/>
    <w:rsid w:val="008D05D1"/>
    <w:rsid w:val="008D0F30"/>
    <w:rsid w:val="008D1B83"/>
    <w:rsid w:val="008D550B"/>
    <w:rsid w:val="008E00C6"/>
    <w:rsid w:val="008E0926"/>
    <w:rsid w:val="008E1D18"/>
    <w:rsid w:val="008E2193"/>
    <w:rsid w:val="008F337A"/>
    <w:rsid w:val="008F5D53"/>
    <w:rsid w:val="008F66E0"/>
    <w:rsid w:val="008F73BF"/>
    <w:rsid w:val="008F7E8B"/>
    <w:rsid w:val="0090047E"/>
    <w:rsid w:val="00900812"/>
    <w:rsid w:val="00901B8F"/>
    <w:rsid w:val="00903FB8"/>
    <w:rsid w:val="0090518F"/>
    <w:rsid w:val="00906F53"/>
    <w:rsid w:val="00906F9A"/>
    <w:rsid w:val="00910B7B"/>
    <w:rsid w:val="00910D99"/>
    <w:rsid w:val="009112CB"/>
    <w:rsid w:val="009123DD"/>
    <w:rsid w:val="0091281C"/>
    <w:rsid w:val="00913403"/>
    <w:rsid w:val="00913543"/>
    <w:rsid w:val="0091557F"/>
    <w:rsid w:val="009168C7"/>
    <w:rsid w:val="0091774F"/>
    <w:rsid w:val="0091789F"/>
    <w:rsid w:val="009201DE"/>
    <w:rsid w:val="0092042B"/>
    <w:rsid w:val="009214E6"/>
    <w:rsid w:val="00922871"/>
    <w:rsid w:val="009263A1"/>
    <w:rsid w:val="00930801"/>
    <w:rsid w:val="00930E76"/>
    <w:rsid w:val="0093324A"/>
    <w:rsid w:val="00933FC9"/>
    <w:rsid w:val="00935B20"/>
    <w:rsid w:val="00935B95"/>
    <w:rsid w:val="00936D88"/>
    <w:rsid w:val="00937C20"/>
    <w:rsid w:val="00942762"/>
    <w:rsid w:val="00943F32"/>
    <w:rsid w:val="00944311"/>
    <w:rsid w:val="0095457B"/>
    <w:rsid w:val="0095637E"/>
    <w:rsid w:val="00957703"/>
    <w:rsid w:val="00957FEE"/>
    <w:rsid w:val="00963329"/>
    <w:rsid w:val="00963DEC"/>
    <w:rsid w:val="009645C6"/>
    <w:rsid w:val="0096471A"/>
    <w:rsid w:val="0096526E"/>
    <w:rsid w:val="009714FF"/>
    <w:rsid w:val="00971871"/>
    <w:rsid w:val="00971ABE"/>
    <w:rsid w:val="0097361D"/>
    <w:rsid w:val="00973664"/>
    <w:rsid w:val="00974F87"/>
    <w:rsid w:val="009759C2"/>
    <w:rsid w:val="00977E00"/>
    <w:rsid w:val="00983D95"/>
    <w:rsid w:val="009857BB"/>
    <w:rsid w:val="00991E09"/>
    <w:rsid w:val="00992FA5"/>
    <w:rsid w:val="00994F9F"/>
    <w:rsid w:val="00995B1D"/>
    <w:rsid w:val="00996085"/>
    <w:rsid w:val="009A01A1"/>
    <w:rsid w:val="009A0657"/>
    <w:rsid w:val="009A3FC5"/>
    <w:rsid w:val="009A4E83"/>
    <w:rsid w:val="009B0D36"/>
    <w:rsid w:val="009B0DC7"/>
    <w:rsid w:val="009B21D9"/>
    <w:rsid w:val="009B36C4"/>
    <w:rsid w:val="009B47B8"/>
    <w:rsid w:val="009B4FF4"/>
    <w:rsid w:val="009B50E6"/>
    <w:rsid w:val="009C086C"/>
    <w:rsid w:val="009C1C55"/>
    <w:rsid w:val="009C2FD6"/>
    <w:rsid w:val="009C5DD9"/>
    <w:rsid w:val="009C6195"/>
    <w:rsid w:val="009C7745"/>
    <w:rsid w:val="009C77B8"/>
    <w:rsid w:val="009C7C46"/>
    <w:rsid w:val="009D2114"/>
    <w:rsid w:val="009D4940"/>
    <w:rsid w:val="009D5E73"/>
    <w:rsid w:val="009D684D"/>
    <w:rsid w:val="009E1EC3"/>
    <w:rsid w:val="009E2929"/>
    <w:rsid w:val="009E349C"/>
    <w:rsid w:val="009E4D51"/>
    <w:rsid w:val="009E73B0"/>
    <w:rsid w:val="009E7570"/>
    <w:rsid w:val="009F026C"/>
    <w:rsid w:val="009F3470"/>
    <w:rsid w:val="009F4DE4"/>
    <w:rsid w:val="009F5998"/>
    <w:rsid w:val="00A00CF4"/>
    <w:rsid w:val="00A0158F"/>
    <w:rsid w:val="00A021F7"/>
    <w:rsid w:val="00A03B4B"/>
    <w:rsid w:val="00A03D87"/>
    <w:rsid w:val="00A07512"/>
    <w:rsid w:val="00A10D2B"/>
    <w:rsid w:val="00A13E86"/>
    <w:rsid w:val="00A144BE"/>
    <w:rsid w:val="00A15646"/>
    <w:rsid w:val="00A15682"/>
    <w:rsid w:val="00A16B68"/>
    <w:rsid w:val="00A213C4"/>
    <w:rsid w:val="00A22081"/>
    <w:rsid w:val="00A2346A"/>
    <w:rsid w:val="00A249C2"/>
    <w:rsid w:val="00A30455"/>
    <w:rsid w:val="00A33629"/>
    <w:rsid w:val="00A37AFA"/>
    <w:rsid w:val="00A40156"/>
    <w:rsid w:val="00A445F3"/>
    <w:rsid w:val="00A44FB5"/>
    <w:rsid w:val="00A45055"/>
    <w:rsid w:val="00A45C6F"/>
    <w:rsid w:val="00A4645A"/>
    <w:rsid w:val="00A46EDC"/>
    <w:rsid w:val="00A478B7"/>
    <w:rsid w:val="00A50D64"/>
    <w:rsid w:val="00A52177"/>
    <w:rsid w:val="00A550E7"/>
    <w:rsid w:val="00A552C8"/>
    <w:rsid w:val="00A56271"/>
    <w:rsid w:val="00A57B5B"/>
    <w:rsid w:val="00A57DB0"/>
    <w:rsid w:val="00A6040E"/>
    <w:rsid w:val="00A66648"/>
    <w:rsid w:val="00A72256"/>
    <w:rsid w:val="00A73FAE"/>
    <w:rsid w:val="00A7548A"/>
    <w:rsid w:val="00A75C5C"/>
    <w:rsid w:val="00A7627B"/>
    <w:rsid w:val="00A76344"/>
    <w:rsid w:val="00A774B1"/>
    <w:rsid w:val="00A77D47"/>
    <w:rsid w:val="00A77E8C"/>
    <w:rsid w:val="00A80D43"/>
    <w:rsid w:val="00A84072"/>
    <w:rsid w:val="00A84DCA"/>
    <w:rsid w:val="00A85293"/>
    <w:rsid w:val="00A85887"/>
    <w:rsid w:val="00A871B7"/>
    <w:rsid w:val="00A9068D"/>
    <w:rsid w:val="00A90DAB"/>
    <w:rsid w:val="00A91C9E"/>
    <w:rsid w:val="00A92B60"/>
    <w:rsid w:val="00A940D2"/>
    <w:rsid w:val="00A941B1"/>
    <w:rsid w:val="00A961FB"/>
    <w:rsid w:val="00A978D6"/>
    <w:rsid w:val="00A979F6"/>
    <w:rsid w:val="00AA03E5"/>
    <w:rsid w:val="00AA3E6D"/>
    <w:rsid w:val="00AA50F5"/>
    <w:rsid w:val="00AB3051"/>
    <w:rsid w:val="00AB3FF2"/>
    <w:rsid w:val="00AB6886"/>
    <w:rsid w:val="00AC02A7"/>
    <w:rsid w:val="00AC0365"/>
    <w:rsid w:val="00AC0374"/>
    <w:rsid w:val="00AC09C4"/>
    <w:rsid w:val="00AC304C"/>
    <w:rsid w:val="00AC4DB0"/>
    <w:rsid w:val="00AC5150"/>
    <w:rsid w:val="00AC5D36"/>
    <w:rsid w:val="00AC68C5"/>
    <w:rsid w:val="00AC7171"/>
    <w:rsid w:val="00AC7444"/>
    <w:rsid w:val="00AD016C"/>
    <w:rsid w:val="00AD24B5"/>
    <w:rsid w:val="00AD347E"/>
    <w:rsid w:val="00AD39C3"/>
    <w:rsid w:val="00AD5154"/>
    <w:rsid w:val="00AD7AF8"/>
    <w:rsid w:val="00AE2E0D"/>
    <w:rsid w:val="00AE41C6"/>
    <w:rsid w:val="00AE5831"/>
    <w:rsid w:val="00AE5966"/>
    <w:rsid w:val="00AE6849"/>
    <w:rsid w:val="00AE7016"/>
    <w:rsid w:val="00AF0F40"/>
    <w:rsid w:val="00AF0F82"/>
    <w:rsid w:val="00AF1CBA"/>
    <w:rsid w:val="00AF5DE6"/>
    <w:rsid w:val="00AF7359"/>
    <w:rsid w:val="00B02BE5"/>
    <w:rsid w:val="00B02FC2"/>
    <w:rsid w:val="00B0461C"/>
    <w:rsid w:val="00B067A5"/>
    <w:rsid w:val="00B0693A"/>
    <w:rsid w:val="00B07F10"/>
    <w:rsid w:val="00B1140D"/>
    <w:rsid w:val="00B1207E"/>
    <w:rsid w:val="00B150D3"/>
    <w:rsid w:val="00B20975"/>
    <w:rsid w:val="00B2252E"/>
    <w:rsid w:val="00B22A44"/>
    <w:rsid w:val="00B22CED"/>
    <w:rsid w:val="00B23F56"/>
    <w:rsid w:val="00B24A17"/>
    <w:rsid w:val="00B27F6B"/>
    <w:rsid w:val="00B27FD1"/>
    <w:rsid w:val="00B30BED"/>
    <w:rsid w:val="00B3179F"/>
    <w:rsid w:val="00B32678"/>
    <w:rsid w:val="00B32BB6"/>
    <w:rsid w:val="00B335FD"/>
    <w:rsid w:val="00B345DF"/>
    <w:rsid w:val="00B410E2"/>
    <w:rsid w:val="00B42F3F"/>
    <w:rsid w:val="00B46A23"/>
    <w:rsid w:val="00B46DA4"/>
    <w:rsid w:val="00B47D99"/>
    <w:rsid w:val="00B54D45"/>
    <w:rsid w:val="00B54DC3"/>
    <w:rsid w:val="00B60923"/>
    <w:rsid w:val="00B6154C"/>
    <w:rsid w:val="00B6243E"/>
    <w:rsid w:val="00B62737"/>
    <w:rsid w:val="00B6486A"/>
    <w:rsid w:val="00B655B5"/>
    <w:rsid w:val="00B65B4E"/>
    <w:rsid w:val="00B65DB7"/>
    <w:rsid w:val="00B66F5C"/>
    <w:rsid w:val="00B705BD"/>
    <w:rsid w:val="00B70AA8"/>
    <w:rsid w:val="00B71162"/>
    <w:rsid w:val="00B7169D"/>
    <w:rsid w:val="00B718D2"/>
    <w:rsid w:val="00B71BCE"/>
    <w:rsid w:val="00B74290"/>
    <w:rsid w:val="00B745D3"/>
    <w:rsid w:val="00B75803"/>
    <w:rsid w:val="00B75BAC"/>
    <w:rsid w:val="00B76602"/>
    <w:rsid w:val="00B767D1"/>
    <w:rsid w:val="00B8147F"/>
    <w:rsid w:val="00B84B68"/>
    <w:rsid w:val="00B84B93"/>
    <w:rsid w:val="00B8640E"/>
    <w:rsid w:val="00B8716A"/>
    <w:rsid w:val="00B873C6"/>
    <w:rsid w:val="00B917D7"/>
    <w:rsid w:val="00B91D73"/>
    <w:rsid w:val="00B935CD"/>
    <w:rsid w:val="00B93790"/>
    <w:rsid w:val="00B95A7C"/>
    <w:rsid w:val="00B97E41"/>
    <w:rsid w:val="00BA10B1"/>
    <w:rsid w:val="00BA1C85"/>
    <w:rsid w:val="00BA2064"/>
    <w:rsid w:val="00BA24CA"/>
    <w:rsid w:val="00BA458B"/>
    <w:rsid w:val="00BA6F47"/>
    <w:rsid w:val="00BA7A76"/>
    <w:rsid w:val="00BB0F4C"/>
    <w:rsid w:val="00BB129E"/>
    <w:rsid w:val="00BB31DF"/>
    <w:rsid w:val="00BB515E"/>
    <w:rsid w:val="00BC0EDD"/>
    <w:rsid w:val="00BC2662"/>
    <w:rsid w:val="00BC6C96"/>
    <w:rsid w:val="00BD208D"/>
    <w:rsid w:val="00BE46C0"/>
    <w:rsid w:val="00BE5E1F"/>
    <w:rsid w:val="00BE796C"/>
    <w:rsid w:val="00BF145F"/>
    <w:rsid w:val="00BF1830"/>
    <w:rsid w:val="00BF3F7F"/>
    <w:rsid w:val="00BF484A"/>
    <w:rsid w:val="00BF5771"/>
    <w:rsid w:val="00BF6F89"/>
    <w:rsid w:val="00C00C75"/>
    <w:rsid w:val="00C00EE6"/>
    <w:rsid w:val="00C03469"/>
    <w:rsid w:val="00C05F2B"/>
    <w:rsid w:val="00C06070"/>
    <w:rsid w:val="00C13CDC"/>
    <w:rsid w:val="00C143E2"/>
    <w:rsid w:val="00C15168"/>
    <w:rsid w:val="00C1692B"/>
    <w:rsid w:val="00C17BE5"/>
    <w:rsid w:val="00C22929"/>
    <w:rsid w:val="00C22F1C"/>
    <w:rsid w:val="00C24319"/>
    <w:rsid w:val="00C245F4"/>
    <w:rsid w:val="00C25CE1"/>
    <w:rsid w:val="00C33144"/>
    <w:rsid w:val="00C345A5"/>
    <w:rsid w:val="00C365C1"/>
    <w:rsid w:val="00C375C0"/>
    <w:rsid w:val="00C40263"/>
    <w:rsid w:val="00C41F29"/>
    <w:rsid w:val="00C4395C"/>
    <w:rsid w:val="00C43BF0"/>
    <w:rsid w:val="00C44385"/>
    <w:rsid w:val="00C4537B"/>
    <w:rsid w:val="00C47B86"/>
    <w:rsid w:val="00C47EA9"/>
    <w:rsid w:val="00C50871"/>
    <w:rsid w:val="00C51414"/>
    <w:rsid w:val="00C564E5"/>
    <w:rsid w:val="00C57D9E"/>
    <w:rsid w:val="00C60C1B"/>
    <w:rsid w:val="00C61E6C"/>
    <w:rsid w:val="00C64112"/>
    <w:rsid w:val="00C64360"/>
    <w:rsid w:val="00C64999"/>
    <w:rsid w:val="00C66752"/>
    <w:rsid w:val="00C7081C"/>
    <w:rsid w:val="00C71FC5"/>
    <w:rsid w:val="00C72443"/>
    <w:rsid w:val="00C7579D"/>
    <w:rsid w:val="00C76761"/>
    <w:rsid w:val="00C76D90"/>
    <w:rsid w:val="00C817C7"/>
    <w:rsid w:val="00C83327"/>
    <w:rsid w:val="00C83B23"/>
    <w:rsid w:val="00C8551A"/>
    <w:rsid w:val="00C87548"/>
    <w:rsid w:val="00C878B0"/>
    <w:rsid w:val="00C879DA"/>
    <w:rsid w:val="00C90905"/>
    <w:rsid w:val="00C90C9B"/>
    <w:rsid w:val="00C96BC3"/>
    <w:rsid w:val="00C9796C"/>
    <w:rsid w:val="00CA240C"/>
    <w:rsid w:val="00CA314B"/>
    <w:rsid w:val="00CA5D14"/>
    <w:rsid w:val="00CB2E09"/>
    <w:rsid w:val="00CB4B7D"/>
    <w:rsid w:val="00CB59DB"/>
    <w:rsid w:val="00CB5AB0"/>
    <w:rsid w:val="00CB643F"/>
    <w:rsid w:val="00CB6667"/>
    <w:rsid w:val="00CB7CEA"/>
    <w:rsid w:val="00CC0503"/>
    <w:rsid w:val="00CC0B0C"/>
    <w:rsid w:val="00CC1038"/>
    <w:rsid w:val="00CC1F19"/>
    <w:rsid w:val="00CC1FD2"/>
    <w:rsid w:val="00CC4B49"/>
    <w:rsid w:val="00CC60A4"/>
    <w:rsid w:val="00CC61B0"/>
    <w:rsid w:val="00CC6845"/>
    <w:rsid w:val="00CD1785"/>
    <w:rsid w:val="00CD6196"/>
    <w:rsid w:val="00CD785B"/>
    <w:rsid w:val="00CE09AA"/>
    <w:rsid w:val="00CE3649"/>
    <w:rsid w:val="00CE4735"/>
    <w:rsid w:val="00CF0784"/>
    <w:rsid w:val="00CF1546"/>
    <w:rsid w:val="00CF174A"/>
    <w:rsid w:val="00CF2E41"/>
    <w:rsid w:val="00CF366D"/>
    <w:rsid w:val="00CF3E9B"/>
    <w:rsid w:val="00CF40B7"/>
    <w:rsid w:val="00CF5944"/>
    <w:rsid w:val="00D00701"/>
    <w:rsid w:val="00D07B9F"/>
    <w:rsid w:val="00D11702"/>
    <w:rsid w:val="00D1202E"/>
    <w:rsid w:val="00D13AD4"/>
    <w:rsid w:val="00D157E8"/>
    <w:rsid w:val="00D15828"/>
    <w:rsid w:val="00D24444"/>
    <w:rsid w:val="00D24550"/>
    <w:rsid w:val="00D26C36"/>
    <w:rsid w:val="00D2765B"/>
    <w:rsid w:val="00D27C83"/>
    <w:rsid w:val="00D3114B"/>
    <w:rsid w:val="00D32437"/>
    <w:rsid w:val="00D33B9D"/>
    <w:rsid w:val="00D4287A"/>
    <w:rsid w:val="00D512A8"/>
    <w:rsid w:val="00D5233D"/>
    <w:rsid w:val="00D528AE"/>
    <w:rsid w:val="00D53E07"/>
    <w:rsid w:val="00D55EDE"/>
    <w:rsid w:val="00D561EE"/>
    <w:rsid w:val="00D573E4"/>
    <w:rsid w:val="00D57F80"/>
    <w:rsid w:val="00D60A5A"/>
    <w:rsid w:val="00D60AFF"/>
    <w:rsid w:val="00D615A4"/>
    <w:rsid w:val="00D62E55"/>
    <w:rsid w:val="00D6371D"/>
    <w:rsid w:val="00D64382"/>
    <w:rsid w:val="00D6643A"/>
    <w:rsid w:val="00D70DBC"/>
    <w:rsid w:val="00D71442"/>
    <w:rsid w:val="00D72B75"/>
    <w:rsid w:val="00D741C7"/>
    <w:rsid w:val="00D779C3"/>
    <w:rsid w:val="00D80DED"/>
    <w:rsid w:val="00D819F0"/>
    <w:rsid w:val="00D83C94"/>
    <w:rsid w:val="00D871CE"/>
    <w:rsid w:val="00D8792F"/>
    <w:rsid w:val="00D90245"/>
    <w:rsid w:val="00D90973"/>
    <w:rsid w:val="00D91F55"/>
    <w:rsid w:val="00D9383B"/>
    <w:rsid w:val="00D942A7"/>
    <w:rsid w:val="00D9479E"/>
    <w:rsid w:val="00D95FC0"/>
    <w:rsid w:val="00DA0C3A"/>
    <w:rsid w:val="00DA17B0"/>
    <w:rsid w:val="00DA1D38"/>
    <w:rsid w:val="00DA2C7F"/>
    <w:rsid w:val="00DA32E9"/>
    <w:rsid w:val="00DA3C98"/>
    <w:rsid w:val="00DA7B85"/>
    <w:rsid w:val="00DB01E4"/>
    <w:rsid w:val="00DB2B74"/>
    <w:rsid w:val="00DB3241"/>
    <w:rsid w:val="00DB32CE"/>
    <w:rsid w:val="00DB6007"/>
    <w:rsid w:val="00DB6442"/>
    <w:rsid w:val="00DB6639"/>
    <w:rsid w:val="00DB6F0B"/>
    <w:rsid w:val="00DB7226"/>
    <w:rsid w:val="00DC1A5D"/>
    <w:rsid w:val="00DC47BA"/>
    <w:rsid w:val="00DC651D"/>
    <w:rsid w:val="00DC6955"/>
    <w:rsid w:val="00DD06EB"/>
    <w:rsid w:val="00DD17D8"/>
    <w:rsid w:val="00DD1DCB"/>
    <w:rsid w:val="00DD3156"/>
    <w:rsid w:val="00DD5F99"/>
    <w:rsid w:val="00DD6EAE"/>
    <w:rsid w:val="00DE0DF4"/>
    <w:rsid w:val="00DE1FEE"/>
    <w:rsid w:val="00DE4405"/>
    <w:rsid w:val="00DF2876"/>
    <w:rsid w:val="00DF30D2"/>
    <w:rsid w:val="00DF3F07"/>
    <w:rsid w:val="00DF3F4E"/>
    <w:rsid w:val="00DF4896"/>
    <w:rsid w:val="00E01890"/>
    <w:rsid w:val="00E02E9F"/>
    <w:rsid w:val="00E04B1C"/>
    <w:rsid w:val="00E05CE7"/>
    <w:rsid w:val="00E100A7"/>
    <w:rsid w:val="00E11B46"/>
    <w:rsid w:val="00E1291D"/>
    <w:rsid w:val="00E14BFC"/>
    <w:rsid w:val="00E155CE"/>
    <w:rsid w:val="00E15917"/>
    <w:rsid w:val="00E16839"/>
    <w:rsid w:val="00E16C87"/>
    <w:rsid w:val="00E2085F"/>
    <w:rsid w:val="00E22028"/>
    <w:rsid w:val="00E231AE"/>
    <w:rsid w:val="00E23FEE"/>
    <w:rsid w:val="00E27975"/>
    <w:rsid w:val="00E30887"/>
    <w:rsid w:val="00E30D12"/>
    <w:rsid w:val="00E32160"/>
    <w:rsid w:val="00E326FB"/>
    <w:rsid w:val="00E33938"/>
    <w:rsid w:val="00E35A50"/>
    <w:rsid w:val="00E35B7E"/>
    <w:rsid w:val="00E35EDA"/>
    <w:rsid w:val="00E35EEF"/>
    <w:rsid w:val="00E36425"/>
    <w:rsid w:val="00E3647D"/>
    <w:rsid w:val="00E373F7"/>
    <w:rsid w:val="00E37CD0"/>
    <w:rsid w:val="00E413E9"/>
    <w:rsid w:val="00E41CFE"/>
    <w:rsid w:val="00E42198"/>
    <w:rsid w:val="00E45367"/>
    <w:rsid w:val="00E46BB5"/>
    <w:rsid w:val="00E4736C"/>
    <w:rsid w:val="00E56A0C"/>
    <w:rsid w:val="00E6009E"/>
    <w:rsid w:val="00E61B98"/>
    <w:rsid w:val="00E64C2E"/>
    <w:rsid w:val="00E65E97"/>
    <w:rsid w:val="00E6797D"/>
    <w:rsid w:val="00E67F68"/>
    <w:rsid w:val="00E70BED"/>
    <w:rsid w:val="00E71038"/>
    <w:rsid w:val="00E736E9"/>
    <w:rsid w:val="00E81BE7"/>
    <w:rsid w:val="00E81F07"/>
    <w:rsid w:val="00E82D9E"/>
    <w:rsid w:val="00E8325B"/>
    <w:rsid w:val="00E909D0"/>
    <w:rsid w:val="00E92800"/>
    <w:rsid w:val="00E92D2A"/>
    <w:rsid w:val="00E9317A"/>
    <w:rsid w:val="00E942FA"/>
    <w:rsid w:val="00E96405"/>
    <w:rsid w:val="00E972A8"/>
    <w:rsid w:val="00E97884"/>
    <w:rsid w:val="00EA12C4"/>
    <w:rsid w:val="00EA1D5D"/>
    <w:rsid w:val="00EA2161"/>
    <w:rsid w:val="00EA4102"/>
    <w:rsid w:val="00EA4B82"/>
    <w:rsid w:val="00EA4DE5"/>
    <w:rsid w:val="00EA53F0"/>
    <w:rsid w:val="00EA5C6F"/>
    <w:rsid w:val="00EB0B09"/>
    <w:rsid w:val="00EB16BA"/>
    <w:rsid w:val="00EB3569"/>
    <w:rsid w:val="00EB42DB"/>
    <w:rsid w:val="00EB5205"/>
    <w:rsid w:val="00EB60E3"/>
    <w:rsid w:val="00EC48A7"/>
    <w:rsid w:val="00EC6727"/>
    <w:rsid w:val="00EC6EAD"/>
    <w:rsid w:val="00EC77F3"/>
    <w:rsid w:val="00EC79E1"/>
    <w:rsid w:val="00ED0526"/>
    <w:rsid w:val="00ED06B1"/>
    <w:rsid w:val="00ED1AB3"/>
    <w:rsid w:val="00ED4096"/>
    <w:rsid w:val="00ED4132"/>
    <w:rsid w:val="00ED4717"/>
    <w:rsid w:val="00ED5126"/>
    <w:rsid w:val="00ED5CB1"/>
    <w:rsid w:val="00ED5DC9"/>
    <w:rsid w:val="00ED7D01"/>
    <w:rsid w:val="00EE306E"/>
    <w:rsid w:val="00EE3159"/>
    <w:rsid w:val="00EE372B"/>
    <w:rsid w:val="00EE50D6"/>
    <w:rsid w:val="00EF2DCE"/>
    <w:rsid w:val="00EF2E53"/>
    <w:rsid w:val="00EF334F"/>
    <w:rsid w:val="00EF375C"/>
    <w:rsid w:val="00EF3B03"/>
    <w:rsid w:val="00F00AFD"/>
    <w:rsid w:val="00F0125D"/>
    <w:rsid w:val="00F033D1"/>
    <w:rsid w:val="00F05304"/>
    <w:rsid w:val="00F06747"/>
    <w:rsid w:val="00F11064"/>
    <w:rsid w:val="00F12BAF"/>
    <w:rsid w:val="00F13BC8"/>
    <w:rsid w:val="00F14FF3"/>
    <w:rsid w:val="00F1616F"/>
    <w:rsid w:val="00F1732F"/>
    <w:rsid w:val="00F17B1D"/>
    <w:rsid w:val="00F21F14"/>
    <w:rsid w:val="00F23F3C"/>
    <w:rsid w:val="00F2483C"/>
    <w:rsid w:val="00F26C88"/>
    <w:rsid w:val="00F32DEE"/>
    <w:rsid w:val="00F3498F"/>
    <w:rsid w:val="00F34F62"/>
    <w:rsid w:val="00F35E55"/>
    <w:rsid w:val="00F3767F"/>
    <w:rsid w:val="00F37889"/>
    <w:rsid w:val="00F3798D"/>
    <w:rsid w:val="00F37F19"/>
    <w:rsid w:val="00F40A1D"/>
    <w:rsid w:val="00F40DE9"/>
    <w:rsid w:val="00F44E4D"/>
    <w:rsid w:val="00F450FF"/>
    <w:rsid w:val="00F46D12"/>
    <w:rsid w:val="00F47B55"/>
    <w:rsid w:val="00F53717"/>
    <w:rsid w:val="00F54358"/>
    <w:rsid w:val="00F54CA9"/>
    <w:rsid w:val="00F604F8"/>
    <w:rsid w:val="00F61B52"/>
    <w:rsid w:val="00F62076"/>
    <w:rsid w:val="00F62936"/>
    <w:rsid w:val="00F62BAD"/>
    <w:rsid w:val="00F63E0E"/>
    <w:rsid w:val="00F63FCF"/>
    <w:rsid w:val="00F64438"/>
    <w:rsid w:val="00F64E1E"/>
    <w:rsid w:val="00F64E62"/>
    <w:rsid w:val="00F66661"/>
    <w:rsid w:val="00F66C9A"/>
    <w:rsid w:val="00F67199"/>
    <w:rsid w:val="00F72D7F"/>
    <w:rsid w:val="00F74A53"/>
    <w:rsid w:val="00F8028A"/>
    <w:rsid w:val="00F80387"/>
    <w:rsid w:val="00F81E91"/>
    <w:rsid w:val="00F8287F"/>
    <w:rsid w:val="00F83DC2"/>
    <w:rsid w:val="00F84452"/>
    <w:rsid w:val="00F85619"/>
    <w:rsid w:val="00F85F94"/>
    <w:rsid w:val="00F85FFC"/>
    <w:rsid w:val="00F86FA5"/>
    <w:rsid w:val="00F8731F"/>
    <w:rsid w:val="00F9003E"/>
    <w:rsid w:val="00F91021"/>
    <w:rsid w:val="00F94C2E"/>
    <w:rsid w:val="00F9645A"/>
    <w:rsid w:val="00F97876"/>
    <w:rsid w:val="00FA0B3C"/>
    <w:rsid w:val="00FA2B2B"/>
    <w:rsid w:val="00FA380D"/>
    <w:rsid w:val="00FA4415"/>
    <w:rsid w:val="00FA47CD"/>
    <w:rsid w:val="00FA665B"/>
    <w:rsid w:val="00FA6DB0"/>
    <w:rsid w:val="00FB40EC"/>
    <w:rsid w:val="00FB4E9B"/>
    <w:rsid w:val="00FB70A0"/>
    <w:rsid w:val="00FB74AC"/>
    <w:rsid w:val="00FB7B9F"/>
    <w:rsid w:val="00FC20A2"/>
    <w:rsid w:val="00FC3AA1"/>
    <w:rsid w:val="00FC40C8"/>
    <w:rsid w:val="00FD0345"/>
    <w:rsid w:val="00FD1455"/>
    <w:rsid w:val="00FD45F5"/>
    <w:rsid w:val="00FD5A1C"/>
    <w:rsid w:val="00FD6408"/>
    <w:rsid w:val="00FD6814"/>
    <w:rsid w:val="00FD72DC"/>
    <w:rsid w:val="00FE26C6"/>
    <w:rsid w:val="00FE354E"/>
    <w:rsid w:val="00FE374F"/>
    <w:rsid w:val="00FE569D"/>
    <w:rsid w:val="00FE63DC"/>
    <w:rsid w:val="00FE74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2B1"/>
    <w:pPr>
      <w:spacing w:after="0" w:line="480" w:lineRule="auto"/>
    </w:pPr>
    <w:rPr>
      <w:rFonts w:ascii="Times New Roman" w:hAnsi="Times New Roman"/>
      <w:sz w:val="24"/>
    </w:rPr>
  </w:style>
  <w:style w:type="paragraph" w:styleId="Heading1">
    <w:name w:val="heading 1"/>
    <w:basedOn w:val="APACenteredText"/>
    <w:next w:val="Normal"/>
    <w:link w:val="Heading1Char"/>
    <w:uiPriority w:val="9"/>
    <w:qFormat/>
    <w:rsid w:val="00896769"/>
    <w:pPr>
      <w:keepNext/>
      <w:keepLines/>
      <w:outlineLvl w:val="0"/>
    </w:pPr>
    <w:rPr>
      <w:rFonts w:eastAsiaTheme="majorEastAsia" w:cstheme="majorBidi"/>
      <w:b/>
      <w:bCs/>
      <w:color w:val="000000" w:themeColor="text1"/>
      <w:szCs w:val="28"/>
    </w:rPr>
  </w:style>
  <w:style w:type="paragraph" w:styleId="Heading2">
    <w:name w:val="heading 2"/>
    <w:basedOn w:val="NormalNoIndent"/>
    <w:next w:val="Normal"/>
    <w:link w:val="Heading2Char"/>
    <w:uiPriority w:val="9"/>
    <w:semiHidden/>
    <w:unhideWhenUsed/>
    <w:qFormat/>
    <w:rsid w:val="00896769"/>
    <w:pPr>
      <w:keepNext/>
      <w:keepLines/>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2BB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32BB6"/>
    <w:rPr>
      <w:rFonts w:ascii="Times New Roman" w:hAnsi="Times New Roman"/>
      <w:sz w:val="24"/>
    </w:rPr>
  </w:style>
  <w:style w:type="paragraph" w:styleId="Footer">
    <w:name w:val="footer"/>
    <w:basedOn w:val="Normal"/>
    <w:link w:val="FooterChar"/>
    <w:uiPriority w:val="99"/>
    <w:semiHidden/>
    <w:unhideWhenUsed/>
    <w:rsid w:val="00B32BB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32BB6"/>
    <w:rPr>
      <w:rFonts w:ascii="Times New Roman" w:hAnsi="Times New Roman"/>
      <w:sz w:val="24"/>
    </w:rPr>
  </w:style>
  <w:style w:type="paragraph" w:customStyle="1" w:styleId="NormalNoIndent">
    <w:name w:val="NormalNoIndent"/>
    <w:basedOn w:val="Normal"/>
    <w:qFormat/>
    <w:rsid w:val="00885761"/>
  </w:style>
  <w:style w:type="paragraph" w:customStyle="1" w:styleId="APAHeader">
    <w:name w:val="APAHeader"/>
    <w:basedOn w:val="NormalNoIndent"/>
    <w:qFormat/>
    <w:rsid w:val="00885761"/>
    <w:pPr>
      <w:spacing w:line="240" w:lineRule="auto"/>
    </w:pPr>
  </w:style>
  <w:style w:type="paragraph" w:customStyle="1" w:styleId="APACenteredText">
    <w:name w:val="APACenteredText"/>
    <w:basedOn w:val="Normal"/>
    <w:qFormat/>
    <w:rsid w:val="004960FC"/>
    <w:pPr>
      <w:jc w:val="center"/>
    </w:pPr>
  </w:style>
  <w:style w:type="paragraph" w:customStyle="1" w:styleId="References">
    <w:name w:val="References"/>
    <w:basedOn w:val="Normal"/>
    <w:qFormat/>
    <w:rsid w:val="00B71BCE"/>
    <w:pPr>
      <w:ind w:left="720" w:hanging="720"/>
    </w:pPr>
  </w:style>
  <w:style w:type="character" w:customStyle="1" w:styleId="Heading1Char">
    <w:name w:val="Heading 1 Char"/>
    <w:basedOn w:val="DefaultParagraphFont"/>
    <w:link w:val="Heading1"/>
    <w:uiPriority w:val="9"/>
    <w:rsid w:val="00896769"/>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896769"/>
    <w:rPr>
      <w:rFonts w:ascii="Times New Roman" w:eastAsiaTheme="majorEastAsia" w:hAnsi="Times New Roman" w:cstheme="majorBidi"/>
      <w:b/>
      <w:bCs/>
      <w:color w:val="000000" w:themeColor="text1"/>
      <w:sz w:val="24"/>
      <w:szCs w:val="26"/>
    </w:rPr>
  </w:style>
  <w:style w:type="paragraph" w:customStyle="1" w:styleId="APAHeading3">
    <w:name w:val="APAHeading3"/>
    <w:basedOn w:val="Normal"/>
    <w:next w:val="APABody"/>
    <w:qFormat/>
    <w:rsid w:val="00896769"/>
    <w:rPr>
      <w:b/>
    </w:rPr>
  </w:style>
  <w:style w:type="character" w:customStyle="1" w:styleId="APAHeading4">
    <w:name w:val="APAHeading4"/>
    <w:uiPriority w:val="1"/>
    <w:qFormat/>
    <w:rsid w:val="00896769"/>
    <w:rPr>
      <w:i/>
    </w:rPr>
  </w:style>
  <w:style w:type="character" w:customStyle="1" w:styleId="APAHeading5">
    <w:name w:val="APAHeading5"/>
    <w:uiPriority w:val="1"/>
    <w:qFormat/>
    <w:rsid w:val="00405DA4"/>
    <w:rPr>
      <w:i/>
    </w:rPr>
  </w:style>
  <w:style w:type="paragraph" w:customStyle="1" w:styleId="APAHeading1">
    <w:name w:val="APAHeading1"/>
    <w:basedOn w:val="APACenteredText"/>
    <w:next w:val="APABody"/>
    <w:qFormat/>
    <w:rsid w:val="00405DA4"/>
    <w:rPr>
      <w:b/>
    </w:rPr>
  </w:style>
  <w:style w:type="paragraph" w:customStyle="1" w:styleId="APAHeading2">
    <w:name w:val="APAHeading2"/>
    <w:basedOn w:val="NormalNoIndent"/>
    <w:next w:val="APABody"/>
    <w:qFormat/>
    <w:rsid w:val="00405DA4"/>
    <w:rPr>
      <w:b/>
    </w:rPr>
  </w:style>
  <w:style w:type="paragraph" w:customStyle="1" w:styleId="APALongQuote">
    <w:name w:val="APALongQuote"/>
    <w:basedOn w:val="Normal"/>
    <w:rsid w:val="008A0951"/>
    <w:pPr>
      <w:ind w:left="720"/>
    </w:pPr>
  </w:style>
  <w:style w:type="paragraph" w:customStyle="1" w:styleId="APALongQuoteMore">
    <w:name w:val="APALongQuoteMore"/>
    <w:basedOn w:val="Normal"/>
    <w:rsid w:val="003E098C"/>
    <w:pPr>
      <w:ind w:left="720"/>
    </w:pPr>
  </w:style>
  <w:style w:type="paragraph" w:customStyle="1" w:styleId="APABody">
    <w:name w:val="APABody"/>
    <w:basedOn w:val="Normal"/>
    <w:qFormat/>
    <w:rsid w:val="001A72B1"/>
    <w:pPr>
      <w:ind w:firstLine="720"/>
    </w:pPr>
  </w:style>
  <w:style w:type="character" w:styleId="Hyperlink">
    <w:name w:val="Hyperlink"/>
    <w:basedOn w:val="DefaultParagraphFont"/>
    <w:uiPriority w:val="99"/>
    <w:unhideWhenUsed/>
    <w:rsid w:val="00E1291D"/>
    <w:rPr>
      <w:color w:val="0000FF"/>
      <w:u w:val="single"/>
    </w:rPr>
  </w:style>
  <w:style w:type="character" w:styleId="Emphasis">
    <w:name w:val="Emphasis"/>
    <w:basedOn w:val="DefaultParagraphFont"/>
    <w:uiPriority w:val="20"/>
    <w:qFormat/>
    <w:rsid w:val="00F62936"/>
    <w:rPr>
      <w:i/>
      <w:iCs/>
    </w:rPr>
  </w:style>
  <w:style w:type="character" w:styleId="Strong">
    <w:name w:val="Strong"/>
    <w:basedOn w:val="DefaultParagraphFont"/>
    <w:uiPriority w:val="22"/>
    <w:qFormat/>
    <w:rsid w:val="00F62936"/>
    <w:rPr>
      <w:b/>
      <w:bCs/>
    </w:rPr>
  </w:style>
  <w:style w:type="character" w:customStyle="1" w:styleId="ssens">
    <w:name w:val="ssens"/>
    <w:basedOn w:val="DefaultParagraphFont"/>
    <w:rsid w:val="00F62936"/>
  </w:style>
  <w:style w:type="character" w:customStyle="1" w:styleId="vi">
    <w:name w:val="vi"/>
    <w:basedOn w:val="DefaultParagraphFont"/>
    <w:rsid w:val="00F629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rriam-webster.com/dictionary/withdra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ncyclopedia.com/doc/1027-withhold.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AppData\Roaming\Microsoft\Templates\Apa6thE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756B0-6417-48C4-82E9-AC8E563BC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Apa6thEd</Template>
  <TotalTime>437</TotalTime>
  <Pages>8</Pages>
  <Words>1450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roth</dc:creator>
  <cp:lastModifiedBy>sheila roth</cp:lastModifiedBy>
  <cp:revision>41</cp:revision>
  <dcterms:created xsi:type="dcterms:W3CDTF">2011-03-13T00:22:00Z</dcterms:created>
  <dcterms:modified xsi:type="dcterms:W3CDTF">2011-03-13T08:48:00Z</dcterms:modified>
</cp:coreProperties>
</file>