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26" w:rsidRDefault="009E4926" w:rsidP="009E4926">
      <w:pPr>
        <w:pStyle w:val="APABody"/>
      </w:pPr>
    </w:p>
    <w:p w:rsidR="009E4926" w:rsidRDefault="009E4926" w:rsidP="009E4926">
      <w:pPr>
        <w:pStyle w:val="APABody"/>
      </w:pPr>
    </w:p>
    <w:p w:rsidR="009E4926" w:rsidRDefault="009E4926" w:rsidP="009E4926">
      <w:pPr>
        <w:pStyle w:val="APABody"/>
      </w:pPr>
    </w:p>
    <w:p w:rsidR="009E4926" w:rsidRDefault="009E4926" w:rsidP="009E4926">
      <w:pPr>
        <w:pStyle w:val="APABody"/>
      </w:pPr>
    </w:p>
    <w:p w:rsidR="009E4926" w:rsidRDefault="009E4926" w:rsidP="009E4926">
      <w:pPr>
        <w:pStyle w:val="APABody"/>
      </w:pPr>
    </w:p>
    <w:p w:rsidR="009E4926" w:rsidRDefault="009E4926" w:rsidP="009E4926">
      <w:pPr>
        <w:pStyle w:val="APABody"/>
      </w:pPr>
    </w:p>
    <w:p w:rsidR="009E4926" w:rsidRDefault="008F2EC7" w:rsidP="009E4926">
      <w:pPr>
        <w:pStyle w:val="APACenteredText"/>
      </w:pPr>
      <w:r>
        <w:t>Research Proposal:  Option A</w:t>
      </w:r>
    </w:p>
    <w:p w:rsidR="009E4926" w:rsidRDefault="009E4926" w:rsidP="009E4926">
      <w:pPr>
        <w:pStyle w:val="APACenteredText"/>
      </w:pPr>
      <w:r>
        <w:t>Sheila Roth</w:t>
      </w:r>
    </w:p>
    <w:p w:rsidR="009E4926" w:rsidRDefault="009E4926" w:rsidP="009E4926">
      <w:pPr>
        <w:pStyle w:val="APACenteredText"/>
      </w:pPr>
      <w:r>
        <w:t>Lakeview College of Nursing</w:t>
      </w:r>
    </w:p>
    <w:p w:rsidR="009E4926" w:rsidRDefault="009E4926" w:rsidP="009E4926">
      <w:pPr>
        <w:pStyle w:val="APACenteredText"/>
      </w:pPr>
      <w:r>
        <w:t>RN302</w:t>
      </w:r>
    </w:p>
    <w:p w:rsidR="009E4926" w:rsidRDefault="009E4926" w:rsidP="009E4926">
      <w:pPr>
        <w:pStyle w:val="APABody"/>
      </w:pPr>
      <w:r>
        <w:br w:type="page"/>
      </w:r>
    </w:p>
    <w:p w:rsidR="009E4926" w:rsidRDefault="00CA6DC2" w:rsidP="009E4926">
      <w:pPr>
        <w:pStyle w:val="APACenteredText"/>
      </w:pPr>
      <w:r>
        <w:lastRenderedPageBreak/>
        <w:t>Research Proposal:  Option A</w:t>
      </w:r>
    </w:p>
    <w:p w:rsidR="009E4926" w:rsidRDefault="007123D9" w:rsidP="009E4926">
      <w:pPr>
        <w:pStyle w:val="APABody"/>
      </w:pPr>
      <w:r>
        <w:t xml:space="preserve">Fear of pain during IV insertion causes many children and adults to experience anxiety prior to a healthcare visit.  Children and adults find themselves reaching high levels of distress in anticipation of </w:t>
      </w:r>
      <w:r w:rsidR="009B1FB4">
        <w:t>receiving a needle stick.</w:t>
      </w:r>
      <w:r>
        <w:t xml:space="preserve"> </w:t>
      </w:r>
      <w:r w:rsidR="00747D32">
        <w:t xml:space="preserve"> Various studies have been performed </w:t>
      </w:r>
      <w:r w:rsidR="00B5406C">
        <w:t xml:space="preserve">to </w:t>
      </w:r>
      <w:r w:rsidR="00747D32">
        <w:t>determine the best and least expensive approach to intradermal and topical anesthesia prior to IV cannulation.</w:t>
      </w:r>
      <w:r>
        <w:t xml:space="preserve"> </w:t>
      </w:r>
      <w:r w:rsidR="00725706">
        <w:t xml:space="preserve"> </w:t>
      </w:r>
      <w:r w:rsidR="0039268F">
        <w:t xml:space="preserve">Intradermal injections have been proven to relieve pain with IV cannulation; however, patients must still endure not one but two needle sticks.  </w:t>
      </w:r>
      <w:r w:rsidR="003944B1">
        <w:t>What can nurses do, other than intradermal injections, to provide effective relief for IV cannulation</w:t>
      </w:r>
      <w:r w:rsidR="008550F9">
        <w:t>? The purpose of this study</w:t>
      </w:r>
      <w:r w:rsidR="00FB1CA8">
        <w:t>,</w:t>
      </w:r>
      <w:r w:rsidR="00857D22">
        <w:t xml:space="preserve"> is</w:t>
      </w:r>
      <w:r w:rsidR="008550F9">
        <w:t xml:space="preserve"> to determine</w:t>
      </w:r>
      <w:r w:rsidR="00857D22">
        <w:t xml:space="preserve"> </w:t>
      </w:r>
      <w:r w:rsidR="00FB1CA8">
        <w:t xml:space="preserve">if </w:t>
      </w:r>
      <w:r w:rsidR="00260D70">
        <w:t>pain levels</w:t>
      </w:r>
      <w:r w:rsidR="00FB1CA8">
        <w:t xml:space="preserve"> decrease with</w:t>
      </w:r>
      <w:r w:rsidR="009B1FB4">
        <w:t xml:space="preserve"> the use </w:t>
      </w:r>
      <w:r w:rsidR="00857D22">
        <w:t>of</w:t>
      </w:r>
      <w:r w:rsidR="008550F9">
        <w:t xml:space="preserve"> topical anesthetics</w:t>
      </w:r>
      <w:r w:rsidR="00F61F08">
        <w:t xml:space="preserve"> </w:t>
      </w:r>
      <w:r w:rsidR="00857D22">
        <w:t>compared to</w:t>
      </w:r>
      <w:r w:rsidR="00F61F08">
        <w:t xml:space="preserve"> intradermal injections</w:t>
      </w:r>
      <w:r w:rsidR="008550F9">
        <w:t xml:space="preserve"> prior to </w:t>
      </w:r>
      <w:r w:rsidR="00F61F08">
        <w:t>IV</w:t>
      </w:r>
      <w:r w:rsidR="008550F9">
        <w:t xml:space="preserve"> cannulation?  </w:t>
      </w:r>
      <w:r w:rsidR="00F61F08">
        <w:t>Th</w:t>
      </w:r>
      <w:r w:rsidR="00081C9C">
        <w:t>is</w:t>
      </w:r>
      <w:r w:rsidR="00F61F08">
        <w:t xml:space="preserve"> proposed study </w:t>
      </w:r>
      <w:r w:rsidR="00D107B8">
        <w:t>seeks to determine if topical anes</w:t>
      </w:r>
      <w:r w:rsidR="0050245C">
        <w:t>thetics are as effective as intradermal anesthetics prior to IV cannulation.</w:t>
      </w:r>
    </w:p>
    <w:p w:rsidR="00A64A83" w:rsidRDefault="00A64A83" w:rsidP="00A64A83">
      <w:pPr>
        <w:pStyle w:val="APAHeading1"/>
      </w:pPr>
      <w:r>
        <w:t>Review of Literature</w:t>
      </w:r>
    </w:p>
    <w:p w:rsidR="004F240F" w:rsidRDefault="004F240F" w:rsidP="004F240F">
      <w:pPr>
        <w:pStyle w:val="APABody"/>
      </w:pPr>
      <w:r>
        <w:t xml:space="preserve">Past studies of evidence-based research is the foundation from which all future studies must be based.  </w:t>
      </w:r>
      <w:r w:rsidR="00506D58">
        <w:t>Four articles have been chosen</w:t>
      </w:r>
      <w:r w:rsidR="00B50DE2">
        <w:t xml:space="preserve"> to evaluate</w:t>
      </w:r>
      <w:r>
        <w:t xml:space="preserve"> </w:t>
      </w:r>
      <w:r w:rsidR="00506D58">
        <w:t>past research studies specific to the use</w:t>
      </w:r>
      <w:r w:rsidR="00B50DE2">
        <w:t xml:space="preserve"> and effects of topical</w:t>
      </w:r>
      <w:r w:rsidR="00506D58">
        <w:t xml:space="preserve"> and intradermal anesthetics.  The studies focus on patient’s</w:t>
      </w:r>
      <w:r w:rsidR="00084074">
        <w:t xml:space="preserve"> perceived</w:t>
      </w:r>
      <w:r w:rsidR="00506D58">
        <w:t xml:space="preserve"> pain levels</w:t>
      </w:r>
      <w:r w:rsidR="00084074">
        <w:t xml:space="preserve"> in</w:t>
      </w:r>
      <w:r w:rsidR="00506D58">
        <w:t xml:space="preserve"> responses to topical or intradermal anesthetic use prior to IV cannulation.  The articles will be reviewed for</w:t>
      </w:r>
      <w:r w:rsidR="00084074">
        <w:t xml:space="preserve"> </w:t>
      </w:r>
      <w:r w:rsidR="00506D58">
        <w:t>design type, methodology used, variables, results, and conclusions.</w:t>
      </w:r>
    </w:p>
    <w:p w:rsidR="00B50DE2" w:rsidRDefault="00B50DE2" w:rsidP="00B50DE2">
      <w:pPr>
        <w:pStyle w:val="APAHeading2"/>
      </w:pPr>
      <w:r>
        <w:t>Article 1:  Effect of Topical Alkane Vapocoolant Spray on Pain With Intravenous Cannulation in Patients in Emergency Departments:  Randomized Double-Blind Placebo Controlled</w:t>
      </w:r>
      <w:r w:rsidR="004C626E">
        <w:t>.</w:t>
      </w:r>
    </w:p>
    <w:p w:rsidR="004C626E" w:rsidRDefault="00AB68BD" w:rsidP="004C626E">
      <w:pPr>
        <w:pStyle w:val="APABody"/>
      </w:pPr>
      <w:r>
        <w:t>The</w:t>
      </w:r>
      <w:r w:rsidR="00967C23">
        <w:t xml:space="preserve"> study</w:t>
      </w:r>
      <w:r w:rsidR="008B1AC6">
        <w:t xml:space="preserve"> </w:t>
      </w:r>
      <w:r w:rsidR="00967C23">
        <w:t>by Hijazi, Taylor, and Richardson (2009)</w:t>
      </w:r>
      <w:r w:rsidR="00BC701E">
        <w:t>,</w:t>
      </w:r>
      <w:r w:rsidR="008B1AC6">
        <w:t xml:space="preserve"> was performed to</w:t>
      </w:r>
      <w:r w:rsidR="003430ED">
        <w:t xml:space="preserve"> “assess the efficacy, acceptability, and safety of a topical alkane vapocoolant in reducing pain during intravenous cannulation in adults</w:t>
      </w:r>
      <w:r w:rsidR="00335C00">
        <w:t xml:space="preserve"> [Abstract].”  </w:t>
      </w:r>
      <w:r w:rsidR="005C4F85">
        <w:t>Hijazi,</w:t>
      </w:r>
      <w:r w:rsidR="0002595F">
        <w:t xml:space="preserve"> Taylor, and Richardson (2009)</w:t>
      </w:r>
      <w:r w:rsidR="008B1AC6">
        <w:t>,</w:t>
      </w:r>
      <w:r w:rsidR="0002595F">
        <w:t xml:space="preserve"> used a </w:t>
      </w:r>
      <w:r w:rsidR="005C4F85">
        <w:lastRenderedPageBreak/>
        <w:t xml:space="preserve">“Randomized double-blind placebo controlled trial” </w:t>
      </w:r>
      <w:r w:rsidR="00FD5342">
        <w:t xml:space="preserve">design </w:t>
      </w:r>
      <w:r w:rsidR="0002595F">
        <w:t>to measure pain and discomfort with IV cannulation after spraying either water or vapocoolant from a designated distance for a period of 2 seconds.  (Hijazi, Taylor, &amp; Richardson, 2009)</w:t>
      </w:r>
      <w:r w:rsidR="008B1AC6">
        <w:t xml:space="preserve"> </w:t>
      </w:r>
      <w:r w:rsidR="002A5336">
        <w:t xml:space="preserve">  Burns and Grove (2009) </w:t>
      </w:r>
      <w:r w:rsidR="00737856">
        <w:t>define</w:t>
      </w:r>
      <w:r w:rsidR="00DE7364">
        <w:t xml:space="preserve"> randomized</w:t>
      </w:r>
      <w:r w:rsidR="002A5336">
        <w:t xml:space="preserve"> </w:t>
      </w:r>
      <w:r w:rsidR="00DE7364">
        <w:t>c</w:t>
      </w:r>
      <w:r w:rsidR="002A5336">
        <w:t xml:space="preserve">linical </w:t>
      </w:r>
      <w:r w:rsidR="00DE7364">
        <w:t>t</w:t>
      </w:r>
      <w:r w:rsidR="002A5336">
        <w:t xml:space="preserve">rials </w:t>
      </w:r>
      <w:r w:rsidR="004A388A">
        <w:t>as</w:t>
      </w:r>
      <w:r w:rsidR="00DE7364">
        <w:t>,</w:t>
      </w:r>
      <w:r w:rsidR="002A5336">
        <w:t xml:space="preserve"> “</w:t>
      </w:r>
      <w:r w:rsidR="00DE7364">
        <w:t>Classic means of examining the effects of various treatments in which the effects of a treatment are examined by comparing the treatment group with no-treatment group (pp. 717-718).”</w:t>
      </w:r>
      <w:r w:rsidR="008B1AC6">
        <w:t xml:space="preserve"> </w:t>
      </w:r>
    </w:p>
    <w:p w:rsidR="00010AB6" w:rsidRDefault="00942CEA" w:rsidP="004C626E">
      <w:pPr>
        <w:pStyle w:val="APABody"/>
      </w:pPr>
      <w:r>
        <w:t xml:space="preserve">The </w:t>
      </w:r>
      <w:r w:rsidR="00381649">
        <w:t>sample included 201 adults</w:t>
      </w:r>
      <w:r w:rsidR="00B8142B">
        <w:t xml:space="preserve"> with </w:t>
      </w:r>
      <w:r w:rsidR="00381649">
        <w:t xml:space="preserve">54% </w:t>
      </w:r>
      <w:r w:rsidR="00B8142B">
        <w:t>being</w:t>
      </w:r>
      <w:r w:rsidR="00381649">
        <w:t xml:space="preserve"> male and 46% female</w:t>
      </w:r>
      <w:r w:rsidR="00B8142B">
        <w:t>.</w:t>
      </w:r>
      <w:r w:rsidR="00920745">
        <w:t xml:space="preserve"> </w:t>
      </w:r>
      <w:r w:rsidR="00B8142B">
        <w:t>The participants consisted of a convenience sample that fit the criteria established. The participants were given a verbal and written explanation of the study.  Written consent was obtained before participants were allowed to take part in the study.</w:t>
      </w:r>
      <w:r w:rsidR="00020C4A">
        <w:t xml:space="preserve">  The participants were placed in a randomized block design using a computerized random number generator. </w:t>
      </w:r>
      <w:r w:rsidR="00737856">
        <w:t xml:space="preserve">(Hijazi, Taylor, &amp; Richardson, 2009) </w:t>
      </w:r>
      <w:r w:rsidR="00020C4A">
        <w:t xml:space="preserve"> Burns and Grove (2009) defines randomized block designs as, “Experimental design in which the researcher includes subjects with various levels of an extraneous variable in the sample but controls the numbers of subjects at each level of the variable and their random assignment to groups within the study</w:t>
      </w:r>
      <w:r w:rsidR="00737856">
        <w:t xml:space="preserve"> (p</w:t>
      </w:r>
      <w:r w:rsidR="00020C4A">
        <w:t>.</w:t>
      </w:r>
      <w:r w:rsidR="00737856">
        <w:t xml:space="preserve"> 717).”</w:t>
      </w:r>
    </w:p>
    <w:p w:rsidR="009D3A60" w:rsidRDefault="00737856" w:rsidP="009D3A60">
      <w:pPr>
        <w:pStyle w:val="APABody"/>
      </w:pPr>
      <w:r>
        <w:t>The independent variable</w:t>
      </w:r>
      <w:r w:rsidR="00E34505">
        <w:t>s were</w:t>
      </w:r>
      <w:r>
        <w:t xml:space="preserve"> the vapocoolant spray</w:t>
      </w:r>
      <w:r w:rsidR="00AB68BD">
        <w:t>,</w:t>
      </w:r>
      <w:r>
        <w:t xml:space="preserve"> </w:t>
      </w:r>
      <w:r w:rsidR="00AB68BD">
        <w:t>that</w:t>
      </w:r>
      <w:r>
        <w:t xml:space="preserve"> was a cold spray</w:t>
      </w:r>
      <w:r w:rsidR="009D3A60">
        <w:t xml:space="preserve"> </w:t>
      </w:r>
      <w:r w:rsidR="00AB68BD">
        <w:t>combination</w:t>
      </w:r>
      <w:r>
        <w:t xml:space="preserve"> of propane, butane, and pentane blended with added fragrance</w:t>
      </w:r>
      <w:r w:rsidR="006135AC">
        <w:t xml:space="preserve"> and a pure water spray </w:t>
      </w:r>
      <w:r w:rsidR="00E34505">
        <w:t>with hydrocarbon propellant</w:t>
      </w:r>
      <w:r w:rsidR="006135AC">
        <w:t xml:space="preserve"> (control)</w:t>
      </w:r>
      <w:r>
        <w:t xml:space="preserve">. The dependent variable was </w:t>
      </w:r>
      <w:r w:rsidR="00E34505">
        <w:t>the pain level the participants experienced.</w:t>
      </w:r>
      <w:r w:rsidR="008409BF">
        <w:t xml:space="preserve">  (Hijazi, Taylor, &amp; Richardson, 2009)</w:t>
      </w:r>
    </w:p>
    <w:p w:rsidR="009D3A60" w:rsidRDefault="00B71116" w:rsidP="009D3A60">
      <w:pPr>
        <w:pStyle w:val="APABody"/>
      </w:pPr>
      <w:r>
        <w:t>According to</w:t>
      </w:r>
      <w:r w:rsidRPr="00B71116">
        <w:t xml:space="preserve"> </w:t>
      </w:r>
      <w:r>
        <w:t xml:space="preserve">Hijazi, Taylor, and Richardson, </w:t>
      </w:r>
      <w:r w:rsidR="006135AC">
        <w:t>(</w:t>
      </w:r>
      <w:r>
        <w:t>2009</w:t>
      </w:r>
      <w:r w:rsidR="006135AC">
        <w:t>),</w:t>
      </w:r>
      <w:r w:rsidR="009D3A60">
        <w:t xml:space="preserve"> </w:t>
      </w:r>
    </w:p>
    <w:p w:rsidR="00B45A9F" w:rsidRDefault="009D3A60" w:rsidP="00B45A9F">
      <w:pPr>
        <w:pStyle w:val="APABody"/>
      </w:pPr>
      <w:r>
        <w:tab/>
      </w:r>
      <w:r w:rsidR="006135AC">
        <w:t xml:space="preserve">Patients in the intervention group reported significantly lower pain scores with </w:t>
      </w:r>
      <w:r w:rsidR="006135AC">
        <w:tab/>
      </w:r>
      <w:r w:rsidR="006135AC">
        <w:tab/>
      </w:r>
      <w:r w:rsidR="006135AC">
        <w:tab/>
        <w:t xml:space="preserve">cannulation; their median pain score was one third that of the control group.  </w:t>
      </w:r>
      <w:r w:rsidR="006135AC">
        <w:tab/>
      </w:r>
      <w:r w:rsidR="006135AC">
        <w:lastRenderedPageBreak/>
        <w:tab/>
      </w:r>
      <w:r w:rsidR="006135AC">
        <w:tab/>
        <w:t xml:space="preserve">There were also significantly fewer patients in the intervention group who </w:t>
      </w:r>
      <w:r w:rsidR="006135AC">
        <w:tab/>
      </w:r>
      <w:r w:rsidR="006135AC">
        <w:tab/>
      </w:r>
      <w:r w:rsidR="006135AC">
        <w:tab/>
      </w:r>
      <w:r w:rsidR="006135AC">
        <w:tab/>
        <w:t>reported a pain score of greater to or equal than 30 mm. (p. 3</w:t>
      </w:r>
      <w:r w:rsidR="00AD716D">
        <w:t>)</w:t>
      </w:r>
    </w:p>
    <w:p w:rsidR="00B45A9F" w:rsidRDefault="00AD716D" w:rsidP="00B45A9F">
      <w:pPr>
        <w:pStyle w:val="APABody"/>
      </w:pPr>
      <w:r>
        <w:t xml:space="preserve">This studies conclusion determined that “Topical alkane vapocoolant spray is effective, acceptable, and safe in reducing pain with peripheral intravenous cannulation in adults in the emergency department [Abstract].” </w:t>
      </w:r>
      <w:r w:rsidR="0043418C">
        <w:t>This article is relevant to nursing practice because the vapocoolant spray provides an effective means to anesthetize an IV site before cannulation without having to use a needle stick to do it.  The results should help to alleviate the patient’s fears and anxieties of feeling the pain of a needle stick.</w:t>
      </w:r>
      <w:r w:rsidR="008E4764">
        <w:t xml:space="preserve">  </w:t>
      </w:r>
    </w:p>
    <w:p w:rsidR="00F75358" w:rsidRDefault="0043418C" w:rsidP="00B45A9F">
      <w:pPr>
        <w:pStyle w:val="APABody"/>
      </w:pPr>
      <w:r>
        <w:t xml:space="preserve">This study </w:t>
      </w:r>
      <w:r w:rsidR="00544B62">
        <w:t>provides a foundation from which this author can build the next research proposal.  Statistics from this research and its limitations will help to refine the boundaries and criteria to enhance the next research proposal.  This writer will use the information from this study to enhance the theory that there are other methods of anesthetizing an IV site prior to cannulation.</w:t>
      </w:r>
      <w:r w:rsidR="00F75358">
        <w:t xml:space="preserve">  </w:t>
      </w:r>
    </w:p>
    <w:p w:rsidR="00F75358" w:rsidRDefault="00F75358" w:rsidP="00F75358">
      <w:pPr>
        <w:pStyle w:val="APAHeading2"/>
      </w:pPr>
      <w:r>
        <w:t>Article 2:  Lignocaine is a Better Analgesic Than Either Ethyl Chloride or Nitrous Oxide for Peripheral Intravenous Cannulation</w:t>
      </w:r>
      <w:r w:rsidR="006A2949">
        <w:t>.</w:t>
      </w:r>
    </w:p>
    <w:p w:rsidR="00763C21" w:rsidRDefault="00F75358" w:rsidP="00F75358">
      <w:pPr>
        <w:pStyle w:val="APABody"/>
      </w:pPr>
      <w:r>
        <w:t xml:space="preserve">This article entitled, “Lignocaine is a better analgesic than either ethyl chloride or nitrous oxide for peripheral intravenous cannulation (p. 427).”  </w:t>
      </w:r>
      <w:r w:rsidR="006A100F">
        <w:t>(</w:t>
      </w:r>
      <w:r w:rsidR="00672A62">
        <w:t xml:space="preserve">Robinson, Carr, Pearson, </w:t>
      </w:r>
      <w:r w:rsidR="006A100F">
        <w:t>&amp;</w:t>
      </w:r>
      <w:r w:rsidR="00672A62">
        <w:t xml:space="preserve"> Frampton</w:t>
      </w:r>
      <w:r w:rsidR="006A100F">
        <w:t xml:space="preserve">, </w:t>
      </w:r>
      <w:r w:rsidR="00672A62">
        <w:t xml:space="preserve">2007) </w:t>
      </w:r>
      <w:r w:rsidR="00AC7B4E">
        <w:t xml:space="preserve">  </w:t>
      </w:r>
      <w:r w:rsidR="00571D37">
        <w:t>Although</w:t>
      </w:r>
      <w:r w:rsidR="00AC7B4E">
        <w:t xml:space="preserve"> the research findings from Hijazi, Taylor, and Richardson (2009)</w:t>
      </w:r>
      <w:r w:rsidR="00571D37">
        <w:t xml:space="preserve"> provided an alternative to intradermal IV cannulation</w:t>
      </w:r>
      <w:r w:rsidR="00F14B05">
        <w:t>; this information considers only one alternative.  The study</w:t>
      </w:r>
      <w:r w:rsidR="00443A3F">
        <w:t>,</w:t>
      </w:r>
      <w:r w:rsidR="00F14B05">
        <w:t xml:space="preserve"> also</w:t>
      </w:r>
      <w:r w:rsidR="00443A3F">
        <w:t>,</w:t>
      </w:r>
      <w:r w:rsidR="00F14B05">
        <w:t xml:space="preserve"> did not measure pain threshold or nee</w:t>
      </w:r>
      <w:r w:rsidR="00443A3F">
        <w:t>dle anxiety of the two groups.  (Hijazi, Taylor, &amp; Richardson, 2009) In other studies the sample sizes were too small, larger bore needles were used and the coolant was sprayed from a greater distance. (Hijazi, Taylor, &amp; Richardson, 2009)</w:t>
      </w:r>
      <w:r w:rsidR="00401988">
        <w:t xml:space="preserve">  The current article’s purpose, according to Robinson et al., (2007), </w:t>
      </w:r>
      <w:r w:rsidR="00763C21">
        <w:t xml:space="preserve"> </w:t>
      </w:r>
    </w:p>
    <w:p w:rsidR="00F75358" w:rsidRDefault="00763C21" w:rsidP="00F75358">
      <w:pPr>
        <w:pStyle w:val="APABody"/>
      </w:pPr>
      <w:r>
        <w:lastRenderedPageBreak/>
        <w:tab/>
      </w:r>
      <w:r w:rsidR="00401988">
        <w:t xml:space="preserve">…aims to reproduce in the ED studies that found a reduction in the pain of IV </w:t>
      </w:r>
      <w:r>
        <w:tab/>
      </w:r>
      <w:r>
        <w:tab/>
      </w:r>
      <w:r>
        <w:tab/>
      </w:r>
      <w:r w:rsidR="00401988">
        <w:t>cannulation after intradermal lignocaine, ethyl chloride topical spray and entonox</w:t>
      </w:r>
      <w:r>
        <w:t xml:space="preserve"> </w:t>
      </w:r>
      <w:r>
        <w:tab/>
      </w:r>
      <w:r>
        <w:tab/>
      </w:r>
      <w:r>
        <w:tab/>
        <w:t xml:space="preserve">(50:50 </w:t>
      </w:r>
      <w:r>
        <w:tab/>
        <w:t xml:space="preserve">oxygen: nitrous oxide).  It also intends to determine which analgesic is </w:t>
      </w:r>
      <w:r>
        <w:tab/>
      </w:r>
      <w:r>
        <w:tab/>
      </w:r>
      <w:r>
        <w:tab/>
        <w:t xml:space="preserve">most effective </w:t>
      </w:r>
      <w:r>
        <w:tab/>
        <w:t>and explore the role of entonox for cannulation analgesia.</w:t>
      </w:r>
    </w:p>
    <w:p w:rsidR="00673B19" w:rsidRDefault="00E03AFE" w:rsidP="00F75358">
      <w:pPr>
        <w:pStyle w:val="APABody"/>
      </w:pPr>
      <w:r>
        <w:t xml:space="preserve">This study is considered a randomized control trial.  A systematic review process was established through the guidelines set for by the researchers.  Participating doctors attended a series of education sessions to allow the doctors to demonstrate </w:t>
      </w:r>
      <w:r w:rsidR="005F13D1">
        <w:t xml:space="preserve">the “correct method of pre-cannulation anesthetic and administration of the visual analogue scale (VAS) test (Robinson et al., 2007, p. 428).  Participants were obtained through a convenience sample of 300 patients.  </w:t>
      </w:r>
      <w:r w:rsidR="00C54D7F">
        <w:t>A set of criteria was established to determine a participant’s inclusion or exclusion.  The article does not give specifics on the consent process; however, it is stated “Patients unable to give consent… (Robinson et al., 2007).”</w:t>
      </w:r>
      <w:r w:rsidR="003D2ED4">
        <w:t xml:space="preserve">  Participants were randomly placed into four groups.  </w:t>
      </w:r>
      <w:r w:rsidR="00673B19">
        <w:t xml:space="preserve">The four groups fell into one of four categories: </w:t>
      </w:r>
      <w:r w:rsidR="00EE3EFF">
        <w:t xml:space="preserve">No anesthesia, entonox, ethyl chloride, and 0.1 mL intradermal lignocaine.  Each group received a different form of anesthesia prior to IV cannulation.  </w:t>
      </w:r>
    </w:p>
    <w:p w:rsidR="00EE3EFF" w:rsidRDefault="00070A9F" w:rsidP="00F75358">
      <w:pPr>
        <w:pStyle w:val="APABody"/>
      </w:pPr>
      <w:r>
        <w:t>The participants receiving entonox inhaled for 1 minute before and during cannulation with no anesthesia.  The participants who received ethyl chloride sprayed for 5-10 seconds from 15-20 cm from the site of cannulation.  The participants who received 0.1 mL 1% lignocaine injected intradermally were injected using a 26 gauge needle.  The participants receiving lignocaine or ethyl chloride</w:t>
      </w:r>
      <w:r w:rsidR="00F50565">
        <w:t xml:space="preserve"> were instructed to mark on the VAS how painful the injection or spray was. (Robinson et al., 2007)</w:t>
      </w:r>
    </w:p>
    <w:p w:rsidR="00440F47" w:rsidRDefault="00440F47" w:rsidP="00F75358">
      <w:pPr>
        <w:pStyle w:val="APABody"/>
      </w:pPr>
      <w:r>
        <w:t xml:space="preserve">One of four different cannula sizes were chosen by the treating doctor and inserted into the participants arm. The site was marked on an anatomical drawing and later recorded using </w:t>
      </w:r>
      <w:r>
        <w:lastRenderedPageBreak/>
        <w:t>medical terms.  Once the cannulation process was complete the participants were asked to mark on the VAS scale his or her perception of pain.  Notes were made of side effects, if any. (Robinson et al., 2007)</w:t>
      </w:r>
    </w:p>
    <w:p w:rsidR="00E03AFE" w:rsidRDefault="003D2ED4" w:rsidP="00F75358">
      <w:pPr>
        <w:pStyle w:val="APABody"/>
      </w:pPr>
      <w:r>
        <w:t xml:space="preserve">The independent variables were, according to Robinson et al., (2007), “IV cannula inserted with (i) no anesthesia; (ii) entonox; (iii) ethyl chloride; and (iv) 0.1 mL intradermal 1% lignocaine (p. 427).”  The dependent variable was </w:t>
      </w:r>
      <w:r w:rsidR="00436904">
        <w:t>the pain recorded on a 100 mm VAS scale after injection of lignocaine or ethyl chloride spray and following IV cannulation.</w:t>
      </w:r>
      <w:r w:rsidR="00100444">
        <w:t xml:space="preserve">  The participants who received no anesthesia served as a control group.</w:t>
      </w:r>
      <w:r w:rsidR="00436904">
        <w:t xml:space="preserve"> (Robinson et al., 2007)</w:t>
      </w:r>
      <w:r>
        <w:t xml:space="preserve"> </w:t>
      </w:r>
    </w:p>
    <w:p w:rsidR="00F67716" w:rsidRDefault="00F67716" w:rsidP="00F75358">
      <w:pPr>
        <w:pStyle w:val="APABody"/>
      </w:pPr>
      <w:r>
        <w:t xml:space="preserve">The study found, according to Robinson et al. </w:t>
      </w:r>
      <w:r w:rsidR="00742211">
        <w:t>(2007</w:t>
      </w:r>
      <w:r>
        <w:t xml:space="preserve">), </w:t>
      </w:r>
    </w:p>
    <w:p w:rsidR="00F67716" w:rsidRDefault="00F67716" w:rsidP="00F75358">
      <w:pPr>
        <w:pStyle w:val="APABody"/>
      </w:pPr>
      <w:r>
        <w:tab/>
        <w:t xml:space="preserve">Patients cannulated without analgesia reported the most pain. Those cannulated </w:t>
      </w:r>
      <w:r>
        <w:tab/>
      </w:r>
      <w:r>
        <w:tab/>
      </w:r>
      <w:r>
        <w:tab/>
        <w:t xml:space="preserve">after lignocaine had the least pain…Ethyl chloride…and entonox…reduced IV </w:t>
      </w:r>
      <w:r>
        <w:tab/>
      </w:r>
      <w:r>
        <w:tab/>
      </w:r>
      <w:r>
        <w:tab/>
        <w:t xml:space="preserve">cannulation pain but did not reach clinical significance.  Neither pain from </w:t>
      </w:r>
      <w:r>
        <w:tab/>
      </w:r>
      <w:r>
        <w:tab/>
      </w:r>
      <w:r>
        <w:tab/>
        <w:t xml:space="preserve">presenting symptoms…nor size of cannula…affected pain scores.  VAS scores </w:t>
      </w:r>
      <w:r>
        <w:tab/>
      </w:r>
      <w:r>
        <w:tab/>
      </w:r>
      <w:r>
        <w:tab/>
        <w:t xml:space="preserve">were independent of sex and age…Cannulation success was not affected by either </w:t>
      </w:r>
      <w:r w:rsidR="00742211">
        <w:tab/>
      </w:r>
      <w:r w:rsidR="00742211">
        <w:tab/>
      </w:r>
      <w:r>
        <w:t>the choice of analgesia or cannulation site</w:t>
      </w:r>
      <w:r w:rsidR="00742211">
        <w:t>. [Abstract]</w:t>
      </w:r>
    </w:p>
    <w:p w:rsidR="00742211" w:rsidRDefault="00742211" w:rsidP="00F75358">
      <w:pPr>
        <w:pStyle w:val="APABody"/>
      </w:pPr>
      <w:r>
        <w:t xml:space="preserve">The conclusion of the study confirmed that lignocaine decreases the pain of cannulation in the ED.  Lignocaine, however, decreased pain levels with IV insertion better than entonox or ethyl chloride. (Robinson et al., 2007) This study encourages the researchers to continue to study the effects of anesthesia prior to IV cannulation.  </w:t>
      </w:r>
    </w:p>
    <w:p w:rsidR="00742211" w:rsidRDefault="00742211" w:rsidP="00F75358">
      <w:pPr>
        <w:pStyle w:val="APABody"/>
      </w:pPr>
      <w:r>
        <w:t>This study is relevant to nursing practice because it continues to es</w:t>
      </w:r>
      <w:r w:rsidR="00BE027D">
        <w:t>tablish different alternatives in anesthesia prior to IV cannulation.  The results help to determine which approach works better than the other.  The results also provide further direction for further studies to be explored.</w:t>
      </w:r>
    </w:p>
    <w:p w:rsidR="00BE027D" w:rsidRDefault="00BE027D" w:rsidP="00F75358">
      <w:pPr>
        <w:pStyle w:val="APABody"/>
      </w:pPr>
      <w:r>
        <w:lastRenderedPageBreak/>
        <w:t xml:space="preserve">The information from this study will be added to this writer’s material in preparation for a new research proposal.  The results help to guide </w:t>
      </w:r>
      <w:r w:rsidR="00475B2C">
        <w:t>the direction this writer will use in supporting alternative methods of anesthesia for IV cannulation.  The results have also assisted in ruling out some methods of anesthesia prior to cannulation.</w:t>
      </w:r>
      <w:r w:rsidR="009A4878">
        <w:t xml:space="preserve">  </w:t>
      </w:r>
    </w:p>
    <w:p w:rsidR="009A4878" w:rsidRDefault="009A4878" w:rsidP="00F75358">
      <w:pPr>
        <w:pStyle w:val="APABody"/>
      </w:pPr>
      <w:r>
        <w:t xml:space="preserve">There were several limitations with this study.  The participants who received lignocaine experienced differences in methods of administration.  Doses were varied and given either intradermally or subcutaneously with needles of different gauges.  </w:t>
      </w:r>
      <w:r w:rsidR="00B432B1">
        <w:t>The doctor’s beliefs about analgesia and cannulation were not assessed.  (Robinson et al., 2007) These limitations will assist this author in aligning guidelines with previous studies to assure the best possible continuity in this research.</w:t>
      </w:r>
    </w:p>
    <w:p w:rsidR="00475B2C" w:rsidRDefault="00475B2C" w:rsidP="00475B2C">
      <w:pPr>
        <w:pStyle w:val="APAHeading2"/>
      </w:pPr>
      <w:r>
        <w:t>Article 3:  Jet Injection of 1% Buffered Lidocaine Versus Topical ELA-Max for Anesthesia Before Peripheral Intravenous Catheterization in Children:  A randomized controlled trial</w:t>
      </w:r>
      <w:r w:rsidR="006A2949">
        <w:t>.</w:t>
      </w:r>
    </w:p>
    <w:p w:rsidR="00DC25D7" w:rsidRDefault="00A82D36" w:rsidP="00B432B1">
      <w:pPr>
        <w:pStyle w:val="APABody"/>
      </w:pPr>
      <w:r>
        <w:t>The purpose of this study, according to Spanos, Booth, Koenig, Sikes, Gracely and Kim (2008) was to compare “the anesthetic effectiveness of J-Tip needle-free jet injection of 1% buffered lidocaine to the anesthetic effectiveness of topical 4% ELA</w:t>
      </w:r>
      <w:r w:rsidR="00361729">
        <w:t>-Max for PIV catheter insertion [Abstract, p. 511</w:t>
      </w:r>
      <w:r w:rsidR="00F46412">
        <w:t>]</w:t>
      </w:r>
      <w:r w:rsidR="00361729">
        <w:t>.”</w:t>
      </w:r>
      <w:r w:rsidR="00780630">
        <w:t xml:space="preserve"> </w:t>
      </w:r>
      <w:r w:rsidR="00BF3302">
        <w:t>This article suggests there are several limitations</w:t>
      </w:r>
      <w:r w:rsidR="004D756C">
        <w:t xml:space="preserve"> that minimize the pain perceived with IV insertion.  The limitations, according to Spanos et al. (2008)</w:t>
      </w:r>
      <w:r w:rsidR="00A57E1F">
        <w:t>,</w:t>
      </w:r>
      <w:r w:rsidR="004D756C">
        <w:t xml:space="preserve"> include: “Significant delay for onset of anesthesia, inadequate anesthesia, infectious disease exposure risk from needle stick injuries, and patients’ needle phobia [Abstract, p. 511].”</w:t>
      </w:r>
      <w:r w:rsidR="00DC25D7">
        <w:t xml:space="preserve">  </w:t>
      </w:r>
    </w:p>
    <w:p w:rsidR="00B432B1" w:rsidRDefault="004D756C" w:rsidP="00B432B1">
      <w:pPr>
        <w:pStyle w:val="APABody"/>
      </w:pPr>
      <w:r>
        <w:t xml:space="preserve"> </w:t>
      </w:r>
      <w:r w:rsidR="00361729">
        <w:t xml:space="preserve"> </w:t>
      </w:r>
      <w:r w:rsidR="00DC25D7">
        <w:t xml:space="preserve">The researchers in this article used a quasi-experimental design.  It is a randomized </w:t>
      </w:r>
      <w:r w:rsidR="004D0FFF">
        <w:t>0</w:t>
      </w:r>
      <w:r w:rsidR="00DC25D7">
        <w:t>controlled trial that is block randomized (Spanos et al., 2008) The independent variables in this study include</w:t>
      </w:r>
      <w:r w:rsidR="00EE314A">
        <w:t>s medication differences and application differences</w:t>
      </w:r>
      <w:r w:rsidR="00DC25D7">
        <w:t>: 1% buffered lidocaine</w:t>
      </w:r>
      <w:r w:rsidR="00EE314A">
        <w:t xml:space="preserve"> and ELA-Max, J-Tip jet injection and 30 minute topical anesthesia.</w:t>
      </w:r>
      <w:r w:rsidR="00C765CD">
        <w:t xml:space="preserve"> The dependent variables included </w:t>
      </w:r>
      <w:r w:rsidR="00C765CD">
        <w:lastRenderedPageBreak/>
        <w:t>pain level (using the VAS) at time of enrollment and perceived pain following cannulation.  Another dependent variable is that participants were videotaped while the jet injection PIV catheter insertion.</w:t>
      </w:r>
      <w:r w:rsidR="007D2DB7">
        <w:t xml:space="preserve">  A single-blinded reviewer observed and reported VAS pain scores for jet injection and PIV catheter insertion. (Spanos et al., 2008)   </w:t>
      </w:r>
      <w:r w:rsidR="00C765CD">
        <w:t xml:space="preserve"> </w:t>
      </w:r>
    </w:p>
    <w:p w:rsidR="001D7DCF" w:rsidRDefault="00943629" w:rsidP="00B432B1">
      <w:pPr>
        <w:pStyle w:val="APABody"/>
      </w:pPr>
      <w:r>
        <w:t xml:space="preserve">Spanos et al., (2008) </w:t>
      </w:r>
      <w:r w:rsidR="00C26A64">
        <w:t>suggest,</w:t>
      </w:r>
      <w:r>
        <w:t xml:space="preserve"> “</w:t>
      </w:r>
      <w:r w:rsidR="00C26A64">
        <w:t>T</w:t>
      </w:r>
      <w:r>
        <w:t>he ideal method for local anesthesia</w:t>
      </w:r>
      <w:r w:rsidR="00C26A64">
        <w:t xml:space="preserve"> before PIV catheter insertion should be rapid, effective, inexpensive, and minimally invasive and also reduce the risk and costs of needle stick exposure and disposal (p. 511).” Many adult studies have been per</w:t>
      </w:r>
      <w:r w:rsidR="00921931">
        <w:t xml:space="preserve">formed with the Jet injection method administering anesthesia.  There have been no studies performed with pediatric patients using the needleless jet injection with </w:t>
      </w:r>
      <w:r w:rsidR="001D7DCF">
        <w:t xml:space="preserve">1% buffered lidocaine compared to ELA-Max. (Spanos et al., 2008)  </w:t>
      </w:r>
    </w:p>
    <w:p w:rsidR="001D7DCF" w:rsidRDefault="001D7DCF" w:rsidP="00B432B1">
      <w:pPr>
        <w:pStyle w:val="APABody"/>
      </w:pPr>
      <w:r>
        <w:t>The study used a convenience sample</w:t>
      </w:r>
      <w:r w:rsidR="00F46412">
        <w:t xml:space="preserve"> made up of 70 participants.</w:t>
      </w:r>
      <w:r>
        <w:t xml:space="preserve"> </w:t>
      </w:r>
      <w:r w:rsidR="00F46412">
        <w:t>The study</w:t>
      </w:r>
      <w:r>
        <w:t xml:space="preserve"> was completed over a year’s time in the pediatric unit at a children’s hospital.  An Institutional Review Board approved the research study.  Informed consent was received from the participant’s parents or guardians.  Written</w:t>
      </w:r>
      <w:r w:rsidR="0032075A">
        <w:t xml:space="preserve"> assent was received from all participants.  The ages of the participants ranged from 8 to 15 years old.  A set of exclusion criteria was followed in determining which participants would be accepted into the study. (Spanos et al., 2008)</w:t>
      </w:r>
    </w:p>
    <w:p w:rsidR="00853DB5" w:rsidRDefault="0032075A" w:rsidP="00B432B1">
      <w:pPr>
        <w:pStyle w:val="APABody"/>
      </w:pPr>
      <w:r>
        <w:t xml:space="preserve">In preparation for the study, participants were block-randomized in groups of 6.  The </w:t>
      </w:r>
      <w:r w:rsidR="00204712">
        <w:t xml:space="preserve">arbitrary order of participants was placed in envelopes and kept until the participants were enrolled.  During the study, </w:t>
      </w:r>
      <w:r w:rsidR="005F724F">
        <w:t>participants were not allowed to be around any stimulating factors.  Parents were not allowed to be near the participants during the study.  Participants who used ELA-Max topical application had a tegaderm placed over the cream for 30 minutes.  After 20 minutes the dressing was removed and pain levels were documented.  The level of pain was also assessed after the cannulation using the VAS with a range of 0-100 mm. (Spanos et al., 2008)</w:t>
      </w:r>
    </w:p>
    <w:p w:rsidR="00853DB5" w:rsidRDefault="00853DB5" w:rsidP="00B432B1">
      <w:pPr>
        <w:pStyle w:val="APABody"/>
      </w:pPr>
      <w:r>
        <w:lastRenderedPageBreak/>
        <w:t>The J-Tip group documented pain levels instantly before and after injection of buffered lidocaine.  After waiting 5 minutes, the jet injection participants once again documented the perceived level of pain after the catheter insertion.  Scoring was completed using only the first IV attempts. (Spanos et al., 2008)</w:t>
      </w:r>
    </w:p>
    <w:p w:rsidR="00A11205" w:rsidRDefault="00F46412" w:rsidP="00B432B1">
      <w:pPr>
        <w:pStyle w:val="APABody"/>
      </w:pPr>
      <w:r>
        <w:t xml:space="preserve">The results were very different </w:t>
      </w:r>
      <w:r w:rsidR="00DB562B">
        <w:t xml:space="preserve">between immediately following the J-Tip injection and the ELA-Max.  The needless injection’s level of pain was perceived significantly lower than the anesthetic cream. The VAS pain level scores </w:t>
      </w:r>
      <w:r w:rsidR="00A11205">
        <w:t>appeared similar but were determined to be statistically insignificant. (Spanos et al., 2008).</w:t>
      </w:r>
      <w:r w:rsidR="00DB562B">
        <w:t xml:space="preserve"> </w:t>
      </w:r>
    </w:p>
    <w:p w:rsidR="00F757C3" w:rsidRDefault="00A11205" w:rsidP="00B432B1">
      <w:pPr>
        <w:pStyle w:val="APABody"/>
      </w:pPr>
      <w:r>
        <w:t>The researchers concluded that the use of a J-Tip jet injection of 1% buffered lidocaine demonstrated a larger anesthetic effect than the ELA-Max cream.  The results were based on the participant’s own assessment of his or her pain level.  Despite the fact that ELA-Max cream was applied and left for 30 minutes; the results did not support its effectiveness.</w:t>
      </w:r>
      <w:r w:rsidR="00F757C3">
        <w:t xml:space="preserve"> (Spanos et al., 2008)</w:t>
      </w:r>
    </w:p>
    <w:p w:rsidR="00DE0396" w:rsidRDefault="00F757C3" w:rsidP="00B432B1">
      <w:pPr>
        <w:pStyle w:val="APABody"/>
      </w:pPr>
      <w:r>
        <w:t xml:space="preserve">This study is relevant to this author’s proposed research because limitations were noted that will need to be explored.  There were a larger percentage of African Americans in the ELA-Max group.  The ethnic background was significantly varied.  The size of the second cannula was not standardized.  The nurses chose what he or she felt was an appropriate size for the participant.  Follow up checks were not performed.  </w:t>
      </w:r>
    </w:p>
    <w:p w:rsidR="0032075A" w:rsidRDefault="0045764A" w:rsidP="00B432B1">
      <w:pPr>
        <w:pStyle w:val="APABody"/>
      </w:pPr>
      <w:r>
        <w:t>The purpose of the study was to understand the effectiveness of the J-Tip and ELA-Max cream in the clinical setting; however, this study was performed in the pediatric emergency department.  The results do not apply to the clinical setting. (Spanos et al., 2008)  The</w:t>
      </w:r>
      <w:r w:rsidR="00DE0396">
        <w:t xml:space="preserve"> above</w:t>
      </w:r>
      <w:r>
        <w:t xml:space="preserve"> limitations will play a significant role in planning for the research proposal.  The limitations will be utilized to assess more specifically </w:t>
      </w:r>
      <w:r w:rsidR="00DE0396">
        <w:t xml:space="preserve">the testing and results of topical anesthetic vs. injectable anesthetic prior to cannulation. </w:t>
      </w:r>
    </w:p>
    <w:p w:rsidR="00DE0396" w:rsidRDefault="00DE0396" w:rsidP="00DE0396">
      <w:pPr>
        <w:pStyle w:val="APAHeading2"/>
      </w:pPr>
      <w:r>
        <w:lastRenderedPageBreak/>
        <w:t xml:space="preserve">Article 4:  Anesthetic Efficacy of 1.8 Milliliters and 3.6 Milliliters of 2% Lidocaine with </w:t>
      </w:r>
      <w:r w:rsidR="009852EA">
        <w:t>1:</w:t>
      </w:r>
      <w:r>
        <w:t xml:space="preserve"> 100,000 Epinephrine for Posterior Superior Alveolar Nerve Blocks</w:t>
      </w:r>
      <w:r w:rsidR="00F80C88">
        <w:t>.</w:t>
      </w:r>
    </w:p>
    <w:p w:rsidR="00FA696B" w:rsidRDefault="002B63B0" w:rsidP="00F80C88">
      <w:pPr>
        <w:pStyle w:val="APABody"/>
      </w:pPr>
      <w:r>
        <w:t xml:space="preserve">This article’s purpose, according to Pfeil, Drum, Reader, Gilles, and Nusstein (2010), “…was to measure the degree of anesthesia obtained with 1.8 mL and 3.6 mL of 2% lidocaine with 1 : 100,000 epinephrine in posterior superior alveolar (PSA) nerve blocks [Abstract].” </w:t>
      </w:r>
      <w:r w:rsidR="00FA696B">
        <w:t>Previous studies had been performed regarding this</w:t>
      </w:r>
      <w:r w:rsidR="0009395B">
        <w:t xml:space="preserve"> topic.  One study used 1.5-1.8 mL of 2% lignocaine with 1 : 80,000 epinephrine while another used a sample size of 30 participants and 1.2 mL if 2% lidocaine with 1 : 100,000 epinephrine and CO2 dry ice to evaluate pulpal anesthesia with a positive results of 88% anesthetized.</w:t>
      </w:r>
      <w:r w:rsidR="000873D5">
        <w:t xml:space="preserve"> (Pfeil et al., 2010)</w:t>
      </w:r>
    </w:p>
    <w:p w:rsidR="00E51331" w:rsidRDefault="002B63B0" w:rsidP="00F80C88">
      <w:pPr>
        <w:pStyle w:val="APABody"/>
      </w:pPr>
      <w:r>
        <w:t xml:space="preserve"> This study is a </w:t>
      </w:r>
      <w:r w:rsidR="004F2839">
        <w:t>randomized clinical trial that used a crossover design.  According to Burns and Grove (2009), “</w:t>
      </w:r>
      <w:r w:rsidR="004F2839">
        <w:rPr>
          <w:i/>
        </w:rPr>
        <w:t xml:space="preserve">Crossover, </w:t>
      </w:r>
      <w:r w:rsidR="004F2839">
        <w:t xml:space="preserve">or </w:t>
      </w:r>
      <w:r w:rsidR="004F2839">
        <w:rPr>
          <w:i/>
        </w:rPr>
        <w:t xml:space="preserve">counterbalancing, </w:t>
      </w:r>
      <w:r w:rsidR="004F2839">
        <w:t xml:space="preserve">is a strategy designed to guard against possible erroneous conclusions resulting from carryover effects.  With counterbalancing, subjects are randomly assigned to a specific sequencing of treatment conditions (p. </w:t>
      </w:r>
      <w:r w:rsidR="00E51331">
        <w:t xml:space="preserve">267).” </w:t>
      </w:r>
      <w:r w:rsidR="009B366D">
        <w:t>This study could be considered quasi-experimental.</w:t>
      </w:r>
      <w:r w:rsidR="00E51331">
        <w:t xml:space="preserve"> </w:t>
      </w:r>
    </w:p>
    <w:p w:rsidR="00815ABD" w:rsidRDefault="00E51331" w:rsidP="00F80C88">
      <w:pPr>
        <w:pStyle w:val="APABody"/>
      </w:pPr>
      <w:r>
        <w:t xml:space="preserve">The independent variable is the use of different amounts in mL of lidocaine with epinephrine.  The </w:t>
      </w:r>
      <w:r w:rsidR="00657E0B">
        <w:t xml:space="preserve">dependent variable is the degree of anesthesia obtained.  The lidocaine-epinephrine mixture was given at two different appointments using a different amount at each appointment. </w:t>
      </w:r>
      <w:bookmarkStart w:id="0" w:name="CurLocation"/>
      <w:bookmarkEnd w:id="0"/>
      <w:r w:rsidR="009B366D">
        <w:t xml:space="preserve">(Pfeil, Drum, Reader, Gilles, &amp; Nusstein, 2010) </w:t>
      </w:r>
      <w:r w:rsidR="00657E0B">
        <w:t xml:space="preserve"> </w:t>
      </w:r>
    </w:p>
    <w:p w:rsidR="00A276C3" w:rsidRDefault="000873D5" w:rsidP="00F80C88">
      <w:pPr>
        <w:pStyle w:val="APABody"/>
      </w:pPr>
      <w:r>
        <w:t xml:space="preserve">According to Pfeil et al., (2010), </w:t>
      </w:r>
    </w:p>
    <w:p w:rsidR="000873D5" w:rsidRDefault="003D4647" w:rsidP="00F80C88">
      <w:pPr>
        <w:pStyle w:val="APABody"/>
      </w:pPr>
      <w:r>
        <w:tab/>
        <w:t xml:space="preserve">Thirty-one adult subjects, 14 men and 17 women ranging in age from 20-44 years </w:t>
      </w:r>
      <w:r>
        <w:tab/>
      </w:r>
      <w:r>
        <w:tab/>
      </w:r>
      <w:r>
        <w:tab/>
        <w:t xml:space="preserve">with an average age of 26 years, participated in the study.  </w:t>
      </w:r>
      <w:r w:rsidR="000873D5">
        <w:t xml:space="preserve">Anesthetic success for </w:t>
      </w:r>
      <w:r>
        <w:tab/>
      </w:r>
      <w:r>
        <w:tab/>
      </w:r>
      <w:r>
        <w:tab/>
      </w:r>
      <w:r w:rsidR="000873D5">
        <w:t>the 1.8 mL volume of 2% lidocaine with 1: 100,000</w:t>
      </w:r>
      <w:r>
        <w:t xml:space="preserve"> </w:t>
      </w:r>
      <w:r w:rsidR="000873D5">
        <w:t xml:space="preserve">epinephrine was 97% for the </w:t>
      </w:r>
      <w:r>
        <w:tab/>
      </w:r>
      <w:r>
        <w:tab/>
      </w:r>
      <w:r>
        <w:tab/>
      </w:r>
      <w:r w:rsidR="000873D5">
        <w:t xml:space="preserve">second molar and 77% for the first molar.  Anesthetic success for the 3.6 mL </w:t>
      </w:r>
      <w:r>
        <w:tab/>
      </w:r>
      <w:r>
        <w:lastRenderedPageBreak/>
        <w:tab/>
      </w:r>
      <w:r>
        <w:tab/>
      </w:r>
      <w:r w:rsidR="000873D5">
        <w:t>volume of 2% lidocaine with 1: 100,000</w:t>
      </w:r>
      <w:r w:rsidR="00A276C3">
        <w:t xml:space="preserve"> epinephrine was 100% for the second </w:t>
      </w:r>
      <w:r>
        <w:tab/>
      </w:r>
      <w:r>
        <w:tab/>
      </w:r>
      <w:r>
        <w:tab/>
      </w:r>
      <w:r w:rsidR="00A276C3">
        <w:t>molar and 84% for the first molar.</w:t>
      </w:r>
      <w:r w:rsidR="00815ABD">
        <w:t xml:space="preserve"> (p. 600)</w:t>
      </w:r>
    </w:p>
    <w:p w:rsidR="00815ABD" w:rsidRDefault="003D4647" w:rsidP="00F80C88">
      <w:pPr>
        <w:pStyle w:val="APABody"/>
      </w:pPr>
      <w:r>
        <w:t>In conclusion,</w:t>
      </w:r>
      <w:r w:rsidR="004A4F17">
        <w:t xml:space="preserve"> there was</w:t>
      </w:r>
      <w:r>
        <w:t xml:space="preserve"> no statistical </w:t>
      </w:r>
      <w:r w:rsidR="00B74389">
        <w:t xml:space="preserve">significance found between the two anesthetic volumes.  </w:t>
      </w:r>
      <w:r w:rsidR="001C25FB">
        <w:t>The anesthetic success for the premolars was low to moderate for both volumes.  In regard</w:t>
      </w:r>
      <w:r w:rsidR="00C364FA">
        <w:t>s</w:t>
      </w:r>
      <w:r w:rsidR="001C25FB">
        <w:t xml:space="preserve"> to the first molar, however, </w:t>
      </w:r>
      <w:r w:rsidR="00C364FA">
        <w:t>the 3.6 mL volume lasted statistically longer than the 1.8 mL. volume.  The reported pain levels regarding the difference between the 3.6 mL and the 1.8 mL volume was not statistically significant. (Pfeil et al., 2010)</w:t>
      </w:r>
    </w:p>
    <w:p w:rsidR="00184B66" w:rsidRDefault="00184B66" w:rsidP="00F80C88">
      <w:pPr>
        <w:pStyle w:val="APABody"/>
      </w:pPr>
      <w:r>
        <w:t>The relevance of this article to the study of nursing practice is somewhat differen</w:t>
      </w:r>
      <w:r w:rsidR="00961D38">
        <w:t>t than the previous articles.  This study was performed on the participant’s mouth; however, the combination of medications may be a possible consideration as an IV cannulation anesthetic.  The volume</w:t>
      </w:r>
      <w:r w:rsidR="006C1C43">
        <w:t xml:space="preserve"> amounts will need adjusted but the concept is there.  This author was unable to locate an article that supported this combination of medications</w:t>
      </w:r>
      <w:r w:rsidR="00961D38">
        <w:t xml:space="preserve"> </w:t>
      </w:r>
      <w:r w:rsidR="006C1C43">
        <w:t>in previous studies; however, all sites were not exhausted.</w:t>
      </w:r>
    </w:p>
    <w:p w:rsidR="006C1C43" w:rsidRDefault="006C1C43" w:rsidP="00F80C88">
      <w:pPr>
        <w:pStyle w:val="APABody"/>
      </w:pPr>
      <w:r>
        <w:t>The fact that this author has not found any supportive evidence to associate with the proposed research study, this study would not be support the research proposal.  This author would need to do further research to determine if this combination of</w:t>
      </w:r>
      <w:r w:rsidR="00461938">
        <w:t xml:space="preserve"> anesthetics has been previously studied.</w:t>
      </w:r>
      <w:r>
        <w:t xml:space="preserve"> </w:t>
      </w:r>
      <w:r w:rsidR="00461938">
        <w:t xml:space="preserve"> If there is no such research, this could be a potential combination to consider in the future regarding anesthetizing IV cannulation sites.</w:t>
      </w:r>
    </w:p>
    <w:p w:rsidR="009B366D" w:rsidRPr="004F2839" w:rsidRDefault="009B366D" w:rsidP="00F80C88">
      <w:pPr>
        <w:pStyle w:val="APABody"/>
      </w:pPr>
    </w:p>
    <w:p w:rsidR="00EE314A" w:rsidRDefault="00EE314A" w:rsidP="00B432B1">
      <w:pPr>
        <w:pStyle w:val="APABody"/>
      </w:pPr>
    </w:p>
    <w:p w:rsidR="00EE314A" w:rsidRDefault="00EE314A" w:rsidP="00B432B1">
      <w:pPr>
        <w:pStyle w:val="APABody"/>
      </w:pPr>
    </w:p>
    <w:p w:rsidR="00EE314A" w:rsidRDefault="00EE314A" w:rsidP="00B432B1">
      <w:pPr>
        <w:pStyle w:val="APABody"/>
      </w:pPr>
    </w:p>
    <w:p w:rsidR="00EE314A" w:rsidRDefault="00EE314A" w:rsidP="00B432B1">
      <w:pPr>
        <w:pStyle w:val="APABody"/>
      </w:pPr>
    </w:p>
    <w:p w:rsidR="009B366D" w:rsidRPr="00734022" w:rsidRDefault="009E4926" w:rsidP="00AF35AD">
      <w:pPr>
        <w:pStyle w:val="APACenteredText"/>
      </w:pPr>
      <w:r>
        <w:lastRenderedPageBreak/>
        <w:t>References</w:t>
      </w:r>
      <w:bookmarkStart w:id="1" w:name="ReferencesBookmark"/>
    </w:p>
    <w:p w:rsidR="009B366D" w:rsidRPr="00DE7364" w:rsidRDefault="009B366D" w:rsidP="009E4926">
      <w:pPr>
        <w:pStyle w:val="References"/>
      </w:pPr>
      <w:r>
        <w:rPr>
          <w:vanish/>
        </w:rPr>
        <w:t>Burns N Grove S K 2009 practice of nursing research:  Appraisal, synthesis, and generation of evidence</w:t>
      </w:r>
      <w:r>
        <w:t xml:space="preserve">Burns, N. &amp; Grove, S. K. (2009). </w:t>
      </w:r>
      <w:r>
        <w:rPr>
          <w:i/>
        </w:rPr>
        <w:t>The practice of nursing research:  Appraisal, synthesis, and generation of evidence</w:t>
      </w:r>
      <w:r>
        <w:t xml:space="preserve"> (6th ed.). St. Louis, MO: Saunders Elsevier.</w:t>
      </w:r>
    </w:p>
    <w:p w:rsidR="009B366D" w:rsidRPr="005C6E41" w:rsidRDefault="009B366D" w:rsidP="009E4926">
      <w:pPr>
        <w:pStyle w:val="References"/>
      </w:pPr>
      <w:r>
        <w:rPr>
          <w:vanish/>
        </w:rPr>
        <w:t>Hijazi R Taylor D Richardson J 20090210 Effect of topical alkane vapocoolant spray on pain with intravenous cannulation in patients in emergency departments:  Randomized double blind placebo controlled trial</w:t>
      </w:r>
      <w:r>
        <w:t>Hijazi, R., Taylor, D., &amp; Richardson, J. (2009). Effect of topical alkane vapocoolant spray on pain with intravenous cannulation in patients in emergency departments:  Randomized double blind placebo controlled trial. Retrieved from Pub Med Database.  doi:  10.1136/bmj.b215.</w:t>
      </w:r>
    </w:p>
    <w:p w:rsidR="009B366D" w:rsidRPr="009B366D" w:rsidRDefault="009B366D" w:rsidP="009E4926">
      <w:pPr>
        <w:pStyle w:val="References"/>
      </w:pPr>
      <w:r>
        <w:rPr>
          <w:vanish/>
        </w:rPr>
        <w:t>Pfeil L Drum M Reader A Gilles J Nusstein J 2010 Anesthetic efficacy of 1.8 milliliters and 3.6 milliliters of 2% lidocaine with 1 : 100,000 epinephrine for posterior superior alveolar nerve blocks [Abstract].</w:t>
      </w:r>
      <w:r>
        <w:t xml:space="preserve">Pfeil, L., Drum, M., Reader, A., Gilles, J., &amp; Nusstein, J. (2010). Anesthetic efficacy of 1.8 milliliters and 3.6 milliliters of 2% lidocaine with </w:t>
      </w:r>
      <w:r w:rsidR="009852EA">
        <w:t>1:</w:t>
      </w:r>
      <w:r>
        <w:t xml:space="preserve"> 100,000 epinephrine for posterior superior alveolar nerve blocks [Abstract]. </w:t>
      </w:r>
      <w:r>
        <w:rPr>
          <w:i/>
        </w:rPr>
        <w:t>American Association of Endodontists, 36</w:t>
      </w:r>
      <w:r>
        <w:t xml:space="preserve">(4), </w:t>
      </w:r>
      <w:r w:rsidR="005A2827">
        <w:t>598-601</w:t>
      </w:r>
      <w:r>
        <w:t xml:space="preserve">. </w:t>
      </w:r>
      <w:r w:rsidR="00AF35AD">
        <w:t>Retrieved from Pub Med Database. doi:  10.1016/joen.2010.01.009.</w:t>
      </w:r>
    </w:p>
    <w:p w:rsidR="009B366D" w:rsidRPr="00672A62" w:rsidRDefault="009B366D" w:rsidP="009E4926">
      <w:pPr>
        <w:pStyle w:val="References"/>
      </w:pPr>
      <w:r>
        <w:rPr>
          <w:vanish/>
        </w:rPr>
        <w:t>Robinson P A Carr S Pearson S Frampton C 2007 Lignocaine is a better analgesic than either ethyl chloride or nitrous oxide for peripheral intravenous cannulation [Abstract].</w:t>
      </w:r>
      <w:r>
        <w:t xml:space="preserve">Robinson, P. A., Carr, S., Pearson, S., &amp; Frampton, C. (2007). Lignocaine is a better analgesic than either ethyl chloride or nitrous oxide for peripheral intravenous cannulation [Abstract]. </w:t>
      </w:r>
      <w:r>
        <w:rPr>
          <w:i/>
        </w:rPr>
        <w:t>Emergency Medicine Australasia, 19</w:t>
      </w:r>
      <w:r>
        <w:t>, 427-432.  Retrieved from Pub Med Database. doi: 10.1111/j.1742-6723.2007.01008.x</w:t>
      </w:r>
      <w:r w:rsidR="00AF35AD">
        <w:t>.</w:t>
      </w:r>
      <w:r>
        <w:t xml:space="preserve"> </w:t>
      </w:r>
    </w:p>
    <w:p w:rsidR="009B366D" w:rsidRPr="00361729" w:rsidRDefault="009B366D" w:rsidP="00BD43CB">
      <w:pPr>
        <w:pStyle w:val="References"/>
      </w:pPr>
      <w:r>
        <w:rPr>
          <w:vanish/>
        </w:rPr>
        <w:t>Spanos S Booth R Koenig H Sikes K Gracely E Kim I K 200808 Jet Injection of 1% buffered lidocaine versus topical ELA-Max for anesthesia before peripheral intravenous catheterization in children</w:t>
      </w:r>
      <w:r>
        <w:t xml:space="preserve"> </w:t>
      </w:r>
      <w:r>
        <w:rPr>
          <w:vanish/>
        </w:rPr>
        <w:t>Spanos S Booth R Koenig H Sikes K Gracely E Kim K I 2008 Jet Injection of 1% buffered lidocaine versus topical ELA-Max for anesthesia before peripheral intravenous catheterization in children [Abstract].</w:t>
      </w:r>
      <w:r>
        <w:t xml:space="preserve">Spanos, S., Booth, R., Koenig, H., Sikes, K., Gracely, E., &amp; Kim, K. I. (2008). Jet Injection of 1% buffered lidocaine versus topical ELA-Max for anesthesia before peripheral intravenous catheterization in children [Abstract]. </w:t>
      </w:r>
      <w:r>
        <w:rPr>
          <w:i/>
        </w:rPr>
        <w:t>Pediatric Emergency Care, 21</w:t>
      </w:r>
      <w:r>
        <w:t xml:space="preserve">(8), 511-515.  Retrieved from </w:t>
      </w:r>
      <w:hyperlink r:id="rId7" w:history="1">
        <w:r w:rsidRPr="00B2443E">
          <w:rPr>
            <w:rStyle w:val="Hyperlink"/>
          </w:rPr>
          <w:t>http://www.pubmedcentral.com</w:t>
        </w:r>
      </w:hyperlink>
      <w:r>
        <w:t xml:space="preserve">. </w:t>
      </w:r>
    </w:p>
    <w:bookmarkEnd w:id="1"/>
    <w:p w:rsidR="009E4926" w:rsidRDefault="009E4926" w:rsidP="009E4926">
      <w:pPr>
        <w:pStyle w:val="APABody"/>
      </w:pPr>
      <w:r>
        <w:br w:type="page"/>
      </w:r>
    </w:p>
    <w:p w:rsidR="00B067A5" w:rsidRPr="00B067A5" w:rsidRDefault="00B067A5" w:rsidP="009E4926">
      <w:pPr>
        <w:pStyle w:val="APABody"/>
      </w:pPr>
    </w:p>
    <w:sectPr w:rsidR="00B067A5" w:rsidRPr="00B067A5" w:rsidSect="009E492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D38" w:rsidRDefault="00961D38" w:rsidP="00B32BB6">
      <w:pPr>
        <w:spacing w:line="240" w:lineRule="auto"/>
      </w:pPr>
      <w:r>
        <w:separator/>
      </w:r>
    </w:p>
  </w:endnote>
  <w:endnote w:type="continuationSeparator" w:id="0">
    <w:p w:rsidR="00961D38" w:rsidRDefault="00961D38"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D38" w:rsidRDefault="00961D38" w:rsidP="00B32BB6">
      <w:pPr>
        <w:spacing w:line="240" w:lineRule="auto"/>
      </w:pPr>
      <w:r>
        <w:separator/>
      </w:r>
    </w:p>
  </w:footnote>
  <w:footnote w:type="continuationSeparator" w:id="0">
    <w:p w:rsidR="00961D38" w:rsidRDefault="00961D38"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38" w:rsidRPr="009E4926" w:rsidRDefault="00961D38" w:rsidP="009E4926">
    <w:pPr>
      <w:pStyle w:val="APAHeader"/>
      <w:tabs>
        <w:tab w:val="right" w:pos="9360"/>
      </w:tabs>
    </w:pPr>
    <w:r>
      <w:t>Research Proposal:  Option A</w:t>
    </w:r>
    <w:r>
      <w:tab/>
    </w:r>
    <w:fldSimple w:instr=" PAGE  \* MERGEFORMAT ">
      <w:r w:rsidR="004D0FFF">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38" w:rsidRPr="009E4926" w:rsidRDefault="00961D38" w:rsidP="00CD6ACA">
    <w:pPr>
      <w:pStyle w:val="APAHeader"/>
      <w:tabs>
        <w:tab w:val="left" w:pos="1800"/>
        <w:tab w:val="right" w:pos="9360"/>
      </w:tabs>
    </w:pPr>
    <w:r>
      <w:t>Running head: RESEARCH PROPOSAL:  OPTION A</w:t>
    </w:r>
    <w:r>
      <w:tab/>
    </w:r>
    <w:fldSimple w:instr=" PAGE  \* MERGEFORMAT ">
      <w:r w:rsidR="004D0FFF">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psAdvancedSort" w:val="True"/>
    <w:docVar w:name="rpsAutoSort" w:val="True"/>
    <w:docVar w:name="rpsCitationList" w:val="|Hijazi, Taylor, Richardson(2009)|Hijazi, Taylor, Richardson(2009)|Burns, Grove(2009)|Robinson, Carr, Pearson, Frampton(2007)|Spanos, Booth, Koenig, Sikes, Gracely, Kim(2008)|Spanos, Booth, Koenig, Sikes, Gracely, Kim(2008)|Pfeil, Drum, Reader, Gilles, Nusstein(2010)|"/>
    <w:docVar w:name="rpsInsertCitation" w:val="True"/>
    <w:docVar w:name="rpsReferencePageCreated" w:val="True"/>
    <w:docVar w:name="rpsSaveCitation" w:val="True"/>
  </w:docVars>
  <w:rsids>
    <w:rsidRoot w:val="00623306"/>
    <w:rsid w:val="00001605"/>
    <w:rsid w:val="000045D4"/>
    <w:rsid w:val="00004D04"/>
    <w:rsid w:val="00005BC0"/>
    <w:rsid w:val="00007E24"/>
    <w:rsid w:val="00010AB6"/>
    <w:rsid w:val="00011D3E"/>
    <w:rsid w:val="00013431"/>
    <w:rsid w:val="000143E9"/>
    <w:rsid w:val="00014CF8"/>
    <w:rsid w:val="00014ED4"/>
    <w:rsid w:val="000153A1"/>
    <w:rsid w:val="00016099"/>
    <w:rsid w:val="00016911"/>
    <w:rsid w:val="00016A76"/>
    <w:rsid w:val="00016C0D"/>
    <w:rsid w:val="000179AE"/>
    <w:rsid w:val="00020C4A"/>
    <w:rsid w:val="000223F0"/>
    <w:rsid w:val="000237AC"/>
    <w:rsid w:val="0002593A"/>
    <w:rsid w:val="0002595F"/>
    <w:rsid w:val="00025DEB"/>
    <w:rsid w:val="000276CD"/>
    <w:rsid w:val="00030204"/>
    <w:rsid w:val="0003040F"/>
    <w:rsid w:val="00030FBF"/>
    <w:rsid w:val="0003350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A9F"/>
    <w:rsid w:val="00070DE6"/>
    <w:rsid w:val="00072832"/>
    <w:rsid w:val="0007432E"/>
    <w:rsid w:val="00074C85"/>
    <w:rsid w:val="00074D48"/>
    <w:rsid w:val="0007725D"/>
    <w:rsid w:val="00081C9C"/>
    <w:rsid w:val="00082EC4"/>
    <w:rsid w:val="00084074"/>
    <w:rsid w:val="0008434F"/>
    <w:rsid w:val="000843A5"/>
    <w:rsid w:val="0008507C"/>
    <w:rsid w:val="00086E33"/>
    <w:rsid w:val="000873D5"/>
    <w:rsid w:val="000910CC"/>
    <w:rsid w:val="000911AE"/>
    <w:rsid w:val="00092B07"/>
    <w:rsid w:val="000933F6"/>
    <w:rsid w:val="000938B9"/>
    <w:rsid w:val="0009395B"/>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6053"/>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0F68B7"/>
    <w:rsid w:val="00100444"/>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30CA"/>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4B66"/>
    <w:rsid w:val="001852ED"/>
    <w:rsid w:val="00193252"/>
    <w:rsid w:val="001947BA"/>
    <w:rsid w:val="00196647"/>
    <w:rsid w:val="0019712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25FB"/>
    <w:rsid w:val="001C4BCF"/>
    <w:rsid w:val="001C6487"/>
    <w:rsid w:val="001C7E69"/>
    <w:rsid w:val="001D3407"/>
    <w:rsid w:val="001D5D7A"/>
    <w:rsid w:val="001D75CF"/>
    <w:rsid w:val="001D7D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712"/>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0D70"/>
    <w:rsid w:val="0026250C"/>
    <w:rsid w:val="00263732"/>
    <w:rsid w:val="00266AF8"/>
    <w:rsid w:val="00266BDE"/>
    <w:rsid w:val="00270890"/>
    <w:rsid w:val="00270EF2"/>
    <w:rsid w:val="00271A7A"/>
    <w:rsid w:val="00273479"/>
    <w:rsid w:val="00273EB0"/>
    <w:rsid w:val="002749B5"/>
    <w:rsid w:val="00275FF8"/>
    <w:rsid w:val="00276F8C"/>
    <w:rsid w:val="002776D6"/>
    <w:rsid w:val="002779F2"/>
    <w:rsid w:val="002818E7"/>
    <w:rsid w:val="0028254E"/>
    <w:rsid w:val="00284D57"/>
    <w:rsid w:val="00286EE2"/>
    <w:rsid w:val="002903BC"/>
    <w:rsid w:val="00295C88"/>
    <w:rsid w:val="00297030"/>
    <w:rsid w:val="002A002D"/>
    <w:rsid w:val="002A0C63"/>
    <w:rsid w:val="002A5336"/>
    <w:rsid w:val="002A73C6"/>
    <w:rsid w:val="002B1592"/>
    <w:rsid w:val="002B63B0"/>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2075A"/>
    <w:rsid w:val="00320BBA"/>
    <w:rsid w:val="00322A36"/>
    <w:rsid w:val="00324230"/>
    <w:rsid w:val="003255EA"/>
    <w:rsid w:val="00327C89"/>
    <w:rsid w:val="00330492"/>
    <w:rsid w:val="003355C1"/>
    <w:rsid w:val="00335C00"/>
    <w:rsid w:val="0034168B"/>
    <w:rsid w:val="003430ED"/>
    <w:rsid w:val="0034457B"/>
    <w:rsid w:val="003449E8"/>
    <w:rsid w:val="00344A4B"/>
    <w:rsid w:val="00345F38"/>
    <w:rsid w:val="00347A4D"/>
    <w:rsid w:val="00355D4D"/>
    <w:rsid w:val="0035624B"/>
    <w:rsid w:val="00356CDE"/>
    <w:rsid w:val="0036121B"/>
    <w:rsid w:val="00361729"/>
    <w:rsid w:val="00361F36"/>
    <w:rsid w:val="0036254B"/>
    <w:rsid w:val="00363A87"/>
    <w:rsid w:val="0036460E"/>
    <w:rsid w:val="00365A15"/>
    <w:rsid w:val="00365D94"/>
    <w:rsid w:val="00376E84"/>
    <w:rsid w:val="00381649"/>
    <w:rsid w:val="003832FC"/>
    <w:rsid w:val="00383DA5"/>
    <w:rsid w:val="00383FF2"/>
    <w:rsid w:val="00384B74"/>
    <w:rsid w:val="00385609"/>
    <w:rsid w:val="00387815"/>
    <w:rsid w:val="00387F81"/>
    <w:rsid w:val="00390F5D"/>
    <w:rsid w:val="0039268F"/>
    <w:rsid w:val="003944B1"/>
    <w:rsid w:val="00395805"/>
    <w:rsid w:val="00396013"/>
    <w:rsid w:val="003A3030"/>
    <w:rsid w:val="003A3611"/>
    <w:rsid w:val="003A47D8"/>
    <w:rsid w:val="003A534A"/>
    <w:rsid w:val="003A5B5D"/>
    <w:rsid w:val="003B4FC9"/>
    <w:rsid w:val="003B7E3A"/>
    <w:rsid w:val="003C05E6"/>
    <w:rsid w:val="003C39A6"/>
    <w:rsid w:val="003C3A53"/>
    <w:rsid w:val="003C472D"/>
    <w:rsid w:val="003C64A8"/>
    <w:rsid w:val="003C757D"/>
    <w:rsid w:val="003D2E1D"/>
    <w:rsid w:val="003D2ED4"/>
    <w:rsid w:val="003D45BA"/>
    <w:rsid w:val="003D4647"/>
    <w:rsid w:val="003D4FA3"/>
    <w:rsid w:val="003D6E2C"/>
    <w:rsid w:val="003D7C26"/>
    <w:rsid w:val="003E098C"/>
    <w:rsid w:val="003E272E"/>
    <w:rsid w:val="003E4370"/>
    <w:rsid w:val="003E5782"/>
    <w:rsid w:val="003E7723"/>
    <w:rsid w:val="003F0652"/>
    <w:rsid w:val="003F6A8B"/>
    <w:rsid w:val="003F750C"/>
    <w:rsid w:val="00400648"/>
    <w:rsid w:val="00400DC6"/>
    <w:rsid w:val="00401988"/>
    <w:rsid w:val="004029A9"/>
    <w:rsid w:val="00404936"/>
    <w:rsid w:val="00405249"/>
    <w:rsid w:val="00405DA4"/>
    <w:rsid w:val="00405F2B"/>
    <w:rsid w:val="004071A3"/>
    <w:rsid w:val="004075A5"/>
    <w:rsid w:val="00414845"/>
    <w:rsid w:val="00414F77"/>
    <w:rsid w:val="00417F61"/>
    <w:rsid w:val="00424571"/>
    <w:rsid w:val="00425728"/>
    <w:rsid w:val="00425C44"/>
    <w:rsid w:val="0042655D"/>
    <w:rsid w:val="00427485"/>
    <w:rsid w:val="00430E50"/>
    <w:rsid w:val="00431D2B"/>
    <w:rsid w:val="004330A9"/>
    <w:rsid w:val="0043418C"/>
    <w:rsid w:val="00434DC6"/>
    <w:rsid w:val="0043669E"/>
    <w:rsid w:val="00436904"/>
    <w:rsid w:val="00437F6F"/>
    <w:rsid w:val="00440BAB"/>
    <w:rsid w:val="00440F47"/>
    <w:rsid w:val="0044281C"/>
    <w:rsid w:val="00443A3F"/>
    <w:rsid w:val="004443BB"/>
    <w:rsid w:val="00445D0B"/>
    <w:rsid w:val="00446CAC"/>
    <w:rsid w:val="00446E35"/>
    <w:rsid w:val="00447AD2"/>
    <w:rsid w:val="0045364B"/>
    <w:rsid w:val="0045570D"/>
    <w:rsid w:val="004564AC"/>
    <w:rsid w:val="004569B4"/>
    <w:rsid w:val="0045764A"/>
    <w:rsid w:val="00461938"/>
    <w:rsid w:val="00462A48"/>
    <w:rsid w:val="0046327B"/>
    <w:rsid w:val="0046489D"/>
    <w:rsid w:val="004663C8"/>
    <w:rsid w:val="004721E5"/>
    <w:rsid w:val="00475B2C"/>
    <w:rsid w:val="00476DAE"/>
    <w:rsid w:val="0048332B"/>
    <w:rsid w:val="00483478"/>
    <w:rsid w:val="004834A5"/>
    <w:rsid w:val="00486C51"/>
    <w:rsid w:val="00486FD8"/>
    <w:rsid w:val="00493BA0"/>
    <w:rsid w:val="00495582"/>
    <w:rsid w:val="00495B83"/>
    <w:rsid w:val="004960FC"/>
    <w:rsid w:val="004A0237"/>
    <w:rsid w:val="004A0FC9"/>
    <w:rsid w:val="004A388A"/>
    <w:rsid w:val="004A4F17"/>
    <w:rsid w:val="004A60F3"/>
    <w:rsid w:val="004B08D5"/>
    <w:rsid w:val="004B3346"/>
    <w:rsid w:val="004B35D3"/>
    <w:rsid w:val="004B44D6"/>
    <w:rsid w:val="004B6F2D"/>
    <w:rsid w:val="004C1BE8"/>
    <w:rsid w:val="004C2945"/>
    <w:rsid w:val="004C36CB"/>
    <w:rsid w:val="004C4E90"/>
    <w:rsid w:val="004C626E"/>
    <w:rsid w:val="004C7755"/>
    <w:rsid w:val="004D0FFF"/>
    <w:rsid w:val="004D1456"/>
    <w:rsid w:val="004D3722"/>
    <w:rsid w:val="004D43C7"/>
    <w:rsid w:val="004D756C"/>
    <w:rsid w:val="004E1446"/>
    <w:rsid w:val="004E521D"/>
    <w:rsid w:val="004F240F"/>
    <w:rsid w:val="004F2839"/>
    <w:rsid w:val="004F4B2E"/>
    <w:rsid w:val="004F5321"/>
    <w:rsid w:val="004F5C3D"/>
    <w:rsid w:val="004F6C7E"/>
    <w:rsid w:val="0050245C"/>
    <w:rsid w:val="00502CBA"/>
    <w:rsid w:val="00506D58"/>
    <w:rsid w:val="0051004E"/>
    <w:rsid w:val="00512C8A"/>
    <w:rsid w:val="005144D8"/>
    <w:rsid w:val="005147CC"/>
    <w:rsid w:val="005150FC"/>
    <w:rsid w:val="005173DA"/>
    <w:rsid w:val="00521F9F"/>
    <w:rsid w:val="00523911"/>
    <w:rsid w:val="00524ADD"/>
    <w:rsid w:val="00532906"/>
    <w:rsid w:val="0053595A"/>
    <w:rsid w:val="005416E0"/>
    <w:rsid w:val="00544B62"/>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D37"/>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827"/>
    <w:rsid w:val="005A2CB5"/>
    <w:rsid w:val="005A3018"/>
    <w:rsid w:val="005A3B66"/>
    <w:rsid w:val="005A55B3"/>
    <w:rsid w:val="005A5ACB"/>
    <w:rsid w:val="005A67EE"/>
    <w:rsid w:val="005B400C"/>
    <w:rsid w:val="005B41AE"/>
    <w:rsid w:val="005B5673"/>
    <w:rsid w:val="005C019A"/>
    <w:rsid w:val="005C2944"/>
    <w:rsid w:val="005C2E06"/>
    <w:rsid w:val="005C4F85"/>
    <w:rsid w:val="005C6E41"/>
    <w:rsid w:val="005C7C2B"/>
    <w:rsid w:val="005D4768"/>
    <w:rsid w:val="005D4854"/>
    <w:rsid w:val="005D6F34"/>
    <w:rsid w:val="005E0DA2"/>
    <w:rsid w:val="005E1D1D"/>
    <w:rsid w:val="005E1FB6"/>
    <w:rsid w:val="005E445D"/>
    <w:rsid w:val="005E44AC"/>
    <w:rsid w:val="005E6D0C"/>
    <w:rsid w:val="005E76B6"/>
    <w:rsid w:val="005F13D1"/>
    <w:rsid w:val="005F1BDD"/>
    <w:rsid w:val="005F1BF6"/>
    <w:rsid w:val="005F1EA7"/>
    <w:rsid w:val="005F1EFF"/>
    <w:rsid w:val="005F2B27"/>
    <w:rsid w:val="005F30FA"/>
    <w:rsid w:val="005F51FF"/>
    <w:rsid w:val="005F724F"/>
    <w:rsid w:val="005F76BE"/>
    <w:rsid w:val="005F7ECF"/>
    <w:rsid w:val="00600391"/>
    <w:rsid w:val="0060756D"/>
    <w:rsid w:val="00612D3C"/>
    <w:rsid w:val="006135AC"/>
    <w:rsid w:val="00613A89"/>
    <w:rsid w:val="00613F2E"/>
    <w:rsid w:val="00616EC7"/>
    <w:rsid w:val="006177FF"/>
    <w:rsid w:val="00623306"/>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57E0B"/>
    <w:rsid w:val="00663615"/>
    <w:rsid w:val="00664D3C"/>
    <w:rsid w:val="00667E01"/>
    <w:rsid w:val="0067164D"/>
    <w:rsid w:val="0067287F"/>
    <w:rsid w:val="00672A62"/>
    <w:rsid w:val="00673B19"/>
    <w:rsid w:val="00676F1D"/>
    <w:rsid w:val="00677696"/>
    <w:rsid w:val="00681202"/>
    <w:rsid w:val="00682BA6"/>
    <w:rsid w:val="0068425E"/>
    <w:rsid w:val="00686226"/>
    <w:rsid w:val="00687357"/>
    <w:rsid w:val="0069290E"/>
    <w:rsid w:val="00693E7A"/>
    <w:rsid w:val="00694B4B"/>
    <w:rsid w:val="00696681"/>
    <w:rsid w:val="006A100F"/>
    <w:rsid w:val="006A1735"/>
    <w:rsid w:val="006A2949"/>
    <w:rsid w:val="006A3A7C"/>
    <w:rsid w:val="006A66D7"/>
    <w:rsid w:val="006B16DE"/>
    <w:rsid w:val="006B29B1"/>
    <w:rsid w:val="006B5FE8"/>
    <w:rsid w:val="006B6383"/>
    <w:rsid w:val="006C187C"/>
    <w:rsid w:val="006C1C43"/>
    <w:rsid w:val="006C20F6"/>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23D9"/>
    <w:rsid w:val="00713436"/>
    <w:rsid w:val="00721CD9"/>
    <w:rsid w:val="00722B1E"/>
    <w:rsid w:val="00725706"/>
    <w:rsid w:val="0072572F"/>
    <w:rsid w:val="00731779"/>
    <w:rsid w:val="007323D2"/>
    <w:rsid w:val="007327DA"/>
    <w:rsid w:val="00733BDB"/>
    <w:rsid w:val="00734022"/>
    <w:rsid w:val="0073422D"/>
    <w:rsid w:val="00735209"/>
    <w:rsid w:val="007359C7"/>
    <w:rsid w:val="007367F9"/>
    <w:rsid w:val="00737856"/>
    <w:rsid w:val="00741A51"/>
    <w:rsid w:val="00742211"/>
    <w:rsid w:val="0074347E"/>
    <w:rsid w:val="00744302"/>
    <w:rsid w:val="00746716"/>
    <w:rsid w:val="00746F8F"/>
    <w:rsid w:val="00747D32"/>
    <w:rsid w:val="00747F28"/>
    <w:rsid w:val="0075145D"/>
    <w:rsid w:val="007525E6"/>
    <w:rsid w:val="0075681A"/>
    <w:rsid w:val="007618B4"/>
    <w:rsid w:val="00763271"/>
    <w:rsid w:val="00763C21"/>
    <w:rsid w:val="0076415B"/>
    <w:rsid w:val="007664BD"/>
    <w:rsid w:val="00766569"/>
    <w:rsid w:val="00767174"/>
    <w:rsid w:val="00767F0B"/>
    <w:rsid w:val="00770059"/>
    <w:rsid w:val="00770C3D"/>
    <w:rsid w:val="0077431F"/>
    <w:rsid w:val="0077541E"/>
    <w:rsid w:val="00775A5C"/>
    <w:rsid w:val="00777A5F"/>
    <w:rsid w:val="00780630"/>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2DB7"/>
    <w:rsid w:val="007D3CDE"/>
    <w:rsid w:val="007D3F24"/>
    <w:rsid w:val="007D45A4"/>
    <w:rsid w:val="007D6C90"/>
    <w:rsid w:val="007D74FE"/>
    <w:rsid w:val="007E037B"/>
    <w:rsid w:val="007E411E"/>
    <w:rsid w:val="007E4383"/>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ABD"/>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09BF"/>
    <w:rsid w:val="00843648"/>
    <w:rsid w:val="00843C43"/>
    <w:rsid w:val="008441D9"/>
    <w:rsid w:val="00847138"/>
    <w:rsid w:val="00847962"/>
    <w:rsid w:val="00851DEA"/>
    <w:rsid w:val="00852776"/>
    <w:rsid w:val="00852C9C"/>
    <w:rsid w:val="00853DB5"/>
    <w:rsid w:val="008550F9"/>
    <w:rsid w:val="00857B0F"/>
    <w:rsid w:val="00857D22"/>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1AC6"/>
    <w:rsid w:val="008B296A"/>
    <w:rsid w:val="008B332E"/>
    <w:rsid w:val="008C2124"/>
    <w:rsid w:val="008C5A2E"/>
    <w:rsid w:val="008C75FF"/>
    <w:rsid w:val="008D05D1"/>
    <w:rsid w:val="008D0F30"/>
    <w:rsid w:val="008D1B83"/>
    <w:rsid w:val="008D550B"/>
    <w:rsid w:val="008E00C6"/>
    <w:rsid w:val="008E0926"/>
    <w:rsid w:val="008E1D18"/>
    <w:rsid w:val="008E4764"/>
    <w:rsid w:val="008F2EC7"/>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0745"/>
    <w:rsid w:val="009214E6"/>
    <w:rsid w:val="00921931"/>
    <w:rsid w:val="00922871"/>
    <w:rsid w:val="009263A1"/>
    <w:rsid w:val="00930801"/>
    <w:rsid w:val="00930E76"/>
    <w:rsid w:val="0093324A"/>
    <w:rsid w:val="00933FC9"/>
    <w:rsid w:val="00935B20"/>
    <w:rsid w:val="00935B95"/>
    <w:rsid w:val="00936D88"/>
    <w:rsid w:val="00937C20"/>
    <w:rsid w:val="00942762"/>
    <w:rsid w:val="00942CEA"/>
    <w:rsid w:val="00943629"/>
    <w:rsid w:val="00943F32"/>
    <w:rsid w:val="00944311"/>
    <w:rsid w:val="0095457B"/>
    <w:rsid w:val="0095637E"/>
    <w:rsid w:val="00957703"/>
    <w:rsid w:val="00957FEE"/>
    <w:rsid w:val="00961D38"/>
    <w:rsid w:val="00963329"/>
    <w:rsid w:val="00963DEC"/>
    <w:rsid w:val="009645C6"/>
    <w:rsid w:val="0096471A"/>
    <w:rsid w:val="0096526E"/>
    <w:rsid w:val="00967C23"/>
    <w:rsid w:val="009714FF"/>
    <w:rsid w:val="00971871"/>
    <w:rsid w:val="00973664"/>
    <w:rsid w:val="00974F87"/>
    <w:rsid w:val="00975768"/>
    <w:rsid w:val="00977E00"/>
    <w:rsid w:val="00980EAA"/>
    <w:rsid w:val="00983D95"/>
    <w:rsid w:val="009852EA"/>
    <w:rsid w:val="009857BB"/>
    <w:rsid w:val="00991E09"/>
    <w:rsid w:val="00992FA5"/>
    <w:rsid w:val="00994F9F"/>
    <w:rsid w:val="00995B1D"/>
    <w:rsid w:val="00996085"/>
    <w:rsid w:val="009A01A1"/>
    <w:rsid w:val="009A0657"/>
    <w:rsid w:val="009A3FC5"/>
    <w:rsid w:val="009A4878"/>
    <w:rsid w:val="009A4E83"/>
    <w:rsid w:val="009B0D36"/>
    <w:rsid w:val="009B0DC7"/>
    <w:rsid w:val="009B1FB4"/>
    <w:rsid w:val="009B21D9"/>
    <w:rsid w:val="009B24E2"/>
    <w:rsid w:val="009B366D"/>
    <w:rsid w:val="009B36C4"/>
    <w:rsid w:val="009B47B8"/>
    <w:rsid w:val="009B4FF4"/>
    <w:rsid w:val="009B50E6"/>
    <w:rsid w:val="009C086C"/>
    <w:rsid w:val="009C1C55"/>
    <w:rsid w:val="009C6195"/>
    <w:rsid w:val="009C7745"/>
    <w:rsid w:val="009C77B8"/>
    <w:rsid w:val="009C7C46"/>
    <w:rsid w:val="009D2114"/>
    <w:rsid w:val="009D3A60"/>
    <w:rsid w:val="009D4940"/>
    <w:rsid w:val="009D5E73"/>
    <w:rsid w:val="009D684D"/>
    <w:rsid w:val="009E1EC3"/>
    <w:rsid w:val="009E2929"/>
    <w:rsid w:val="009E349C"/>
    <w:rsid w:val="009E4926"/>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1205"/>
    <w:rsid w:val="00A144BE"/>
    <w:rsid w:val="00A15646"/>
    <w:rsid w:val="00A15682"/>
    <w:rsid w:val="00A16B68"/>
    <w:rsid w:val="00A213C4"/>
    <w:rsid w:val="00A22081"/>
    <w:rsid w:val="00A2346A"/>
    <w:rsid w:val="00A249C2"/>
    <w:rsid w:val="00A276C3"/>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57E1F"/>
    <w:rsid w:val="00A6040E"/>
    <w:rsid w:val="00A64A83"/>
    <w:rsid w:val="00A66648"/>
    <w:rsid w:val="00A72256"/>
    <w:rsid w:val="00A73FAE"/>
    <w:rsid w:val="00A7548A"/>
    <w:rsid w:val="00A75C5C"/>
    <w:rsid w:val="00A7627B"/>
    <w:rsid w:val="00A76344"/>
    <w:rsid w:val="00A774B1"/>
    <w:rsid w:val="00A77D47"/>
    <w:rsid w:val="00A77E8C"/>
    <w:rsid w:val="00A80D43"/>
    <w:rsid w:val="00A82D36"/>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3051"/>
    <w:rsid w:val="00AB3FF2"/>
    <w:rsid w:val="00AB68BD"/>
    <w:rsid w:val="00AC02A7"/>
    <w:rsid w:val="00AC0365"/>
    <w:rsid w:val="00AC0374"/>
    <w:rsid w:val="00AC09C4"/>
    <w:rsid w:val="00AC304C"/>
    <w:rsid w:val="00AC4DB0"/>
    <w:rsid w:val="00AC5D36"/>
    <w:rsid w:val="00AC68C5"/>
    <w:rsid w:val="00AC7171"/>
    <w:rsid w:val="00AC7444"/>
    <w:rsid w:val="00AC7B4E"/>
    <w:rsid w:val="00AD016C"/>
    <w:rsid w:val="00AD347E"/>
    <w:rsid w:val="00AD39C3"/>
    <w:rsid w:val="00AD5154"/>
    <w:rsid w:val="00AD716D"/>
    <w:rsid w:val="00AD7AF8"/>
    <w:rsid w:val="00AE2E0D"/>
    <w:rsid w:val="00AE41C6"/>
    <w:rsid w:val="00AE5831"/>
    <w:rsid w:val="00AE5966"/>
    <w:rsid w:val="00AE6849"/>
    <w:rsid w:val="00AE7016"/>
    <w:rsid w:val="00AF0F40"/>
    <w:rsid w:val="00AF0F82"/>
    <w:rsid w:val="00AF1CBA"/>
    <w:rsid w:val="00AF35AD"/>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302"/>
    <w:rsid w:val="00B27F6B"/>
    <w:rsid w:val="00B27FD1"/>
    <w:rsid w:val="00B30BED"/>
    <w:rsid w:val="00B3179F"/>
    <w:rsid w:val="00B32678"/>
    <w:rsid w:val="00B32BB6"/>
    <w:rsid w:val="00B335FD"/>
    <w:rsid w:val="00B345DF"/>
    <w:rsid w:val="00B410E2"/>
    <w:rsid w:val="00B42F3F"/>
    <w:rsid w:val="00B432B1"/>
    <w:rsid w:val="00B45A9F"/>
    <w:rsid w:val="00B46A23"/>
    <w:rsid w:val="00B46DA4"/>
    <w:rsid w:val="00B47D99"/>
    <w:rsid w:val="00B50DE2"/>
    <w:rsid w:val="00B5406C"/>
    <w:rsid w:val="00B54D45"/>
    <w:rsid w:val="00B54DC3"/>
    <w:rsid w:val="00B57A28"/>
    <w:rsid w:val="00B60923"/>
    <w:rsid w:val="00B6154C"/>
    <w:rsid w:val="00B6243E"/>
    <w:rsid w:val="00B62737"/>
    <w:rsid w:val="00B6486A"/>
    <w:rsid w:val="00B655B5"/>
    <w:rsid w:val="00B65B4E"/>
    <w:rsid w:val="00B65DB7"/>
    <w:rsid w:val="00B66F5C"/>
    <w:rsid w:val="00B705BD"/>
    <w:rsid w:val="00B70AA8"/>
    <w:rsid w:val="00B71116"/>
    <w:rsid w:val="00B71162"/>
    <w:rsid w:val="00B7169D"/>
    <w:rsid w:val="00B718D2"/>
    <w:rsid w:val="00B71BCE"/>
    <w:rsid w:val="00B74290"/>
    <w:rsid w:val="00B74389"/>
    <w:rsid w:val="00B745D3"/>
    <w:rsid w:val="00B75803"/>
    <w:rsid w:val="00B75BAC"/>
    <w:rsid w:val="00B76602"/>
    <w:rsid w:val="00B767D1"/>
    <w:rsid w:val="00B77A9B"/>
    <w:rsid w:val="00B8142B"/>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17F5"/>
    <w:rsid w:val="00BB31DF"/>
    <w:rsid w:val="00BB515E"/>
    <w:rsid w:val="00BC0EDD"/>
    <w:rsid w:val="00BC2662"/>
    <w:rsid w:val="00BC3CE8"/>
    <w:rsid w:val="00BC5287"/>
    <w:rsid w:val="00BC6C96"/>
    <w:rsid w:val="00BC701E"/>
    <w:rsid w:val="00BD208D"/>
    <w:rsid w:val="00BD43CB"/>
    <w:rsid w:val="00BE027D"/>
    <w:rsid w:val="00BE46C0"/>
    <w:rsid w:val="00BE5E1F"/>
    <w:rsid w:val="00BE796C"/>
    <w:rsid w:val="00BF145F"/>
    <w:rsid w:val="00BF1830"/>
    <w:rsid w:val="00BF3302"/>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26A64"/>
    <w:rsid w:val="00C33144"/>
    <w:rsid w:val="00C345A5"/>
    <w:rsid w:val="00C364FA"/>
    <w:rsid w:val="00C365C1"/>
    <w:rsid w:val="00C375C0"/>
    <w:rsid w:val="00C40263"/>
    <w:rsid w:val="00C41F29"/>
    <w:rsid w:val="00C4395C"/>
    <w:rsid w:val="00C43BF0"/>
    <w:rsid w:val="00C44385"/>
    <w:rsid w:val="00C4537B"/>
    <w:rsid w:val="00C47B86"/>
    <w:rsid w:val="00C47EA9"/>
    <w:rsid w:val="00C50871"/>
    <w:rsid w:val="00C51414"/>
    <w:rsid w:val="00C54D7F"/>
    <w:rsid w:val="00C564E5"/>
    <w:rsid w:val="00C57D9E"/>
    <w:rsid w:val="00C60C1B"/>
    <w:rsid w:val="00C61E6C"/>
    <w:rsid w:val="00C64112"/>
    <w:rsid w:val="00C64999"/>
    <w:rsid w:val="00C66752"/>
    <w:rsid w:val="00C7081C"/>
    <w:rsid w:val="00C71FC5"/>
    <w:rsid w:val="00C72443"/>
    <w:rsid w:val="00C7579D"/>
    <w:rsid w:val="00C765CD"/>
    <w:rsid w:val="00C76761"/>
    <w:rsid w:val="00C76D90"/>
    <w:rsid w:val="00C817C7"/>
    <w:rsid w:val="00C83327"/>
    <w:rsid w:val="00C83B23"/>
    <w:rsid w:val="00C8551A"/>
    <w:rsid w:val="00C86FB3"/>
    <w:rsid w:val="00C87548"/>
    <w:rsid w:val="00C878B0"/>
    <w:rsid w:val="00C879DA"/>
    <w:rsid w:val="00C90905"/>
    <w:rsid w:val="00C90C9B"/>
    <w:rsid w:val="00C96BC3"/>
    <w:rsid w:val="00C9796C"/>
    <w:rsid w:val="00CA240C"/>
    <w:rsid w:val="00CA314B"/>
    <w:rsid w:val="00CA5D14"/>
    <w:rsid w:val="00CA6DC2"/>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6ACA"/>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07B8"/>
    <w:rsid w:val="00D11702"/>
    <w:rsid w:val="00D1202E"/>
    <w:rsid w:val="00D13AD4"/>
    <w:rsid w:val="00D15828"/>
    <w:rsid w:val="00D24444"/>
    <w:rsid w:val="00D24550"/>
    <w:rsid w:val="00D26C36"/>
    <w:rsid w:val="00D2765B"/>
    <w:rsid w:val="00D27C83"/>
    <w:rsid w:val="00D3114B"/>
    <w:rsid w:val="00D32437"/>
    <w:rsid w:val="00D33B9D"/>
    <w:rsid w:val="00D4287A"/>
    <w:rsid w:val="00D4420D"/>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562B"/>
    <w:rsid w:val="00DB6007"/>
    <w:rsid w:val="00DB6442"/>
    <w:rsid w:val="00DB6639"/>
    <w:rsid w:val="00DB6F0B"/>
    <w:rsid w:val="00DB7226"/>
    <w:rsid w:val="00DC1A5D"/>
    <w:rsid w:val="00DC25D7"/>
    <w:rsid w:val="00DC47BA"/>
    <w:rsid w:val="00DC651D"/>
    <w:rsid w:val="00DD06EB"/>
    <w:rsid w:val="00DD17D8"/>
    <w:rsid w:val="00DD1DCB"/>
    <w:rsid w:val="00DD3156"/>
    <w:rsid w:val="00DD5F99"/>
    <w:rsid w:val="00DD6EAE"/>
    <w:rsid w:val="00DE0396"/>
    <w:rsid w:val="00DE1FEE"/>
    <w:rsid w:val="00DE4E17"/>
    <w:rsid w:val="00DE7364"/>
    <w:rsid w:val="00DE7D55"/>
    <w:rsid w:val="00DF2876"/>
    <w:rsid w:val="00DF30D2"/>
    <w:rsid w:val="00DF3F07"/>
    <w:rsid w:val="00DF3F4E"/>
    <w:rsid w:val="00DF4896"/>
    <w:rsid w:val="00E01890"/>
    <w:rsid w:val="00E02E9F"/>
    <w:rsid w:val="00E03AFE"/>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4505"/>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1331"/>
    <w:rsid w:val="00E56A0C"/>
    <w:rsid w:val="00E6009E"/>
    <w:rsid w:val="00E61B98"/>
    <w:rsid w:val="00E64C2E"/>
    <w:rsid w:val="00E65E97"/>
    <w:rsid w:val="00E6797D"/>
    <w:rsid w:val="00E67F68"/>
    <w:rsid w:val="00E70BED"/>
    <w:rsid w:val="00E71038"/>
    <w:rsid w:val="00E73290"/>
    <w:rsid w:val="00E736E9"/>
    <w:rsid w:val="00E81BE7"/>
    <w:rsid w:val="00E81F07"/>
    <w:rsid w:val="00E82D9E"/>
    <w:rsid w:val="00E8325B"/>
    <w:rsid w:val="00E909D0"/>
    <w:rsid w:val="00E92800"/>
    <w:rsid w:val="00E92D2A"/>
    <w:rsid w:val="00E9317A"/>
    <w:rsid w:val="00E93555"/>
    <w:rsid w:val="00E942FA"/>
    <w:rsid w:val="00E96405"/>
    <w:rsid w:val="00E972A8"/>
    <w:rsid w:val="00E97884"/>
    <w:rsid w:val="00EA12C4"/>
    <w:rsid w:val="00EA1D5D"/>
    <w:rsid w:val="00EA2161"/>
    <w:rsid w:val="00EA4102"/>
    <w:rsid w:val="00EA4B82"/>
    <w:rsid w:val="00EA4DE5"/>
    <w:rsid w:val="00EA53F0"/>
    <w:rsid w:val="00EA541A"/>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4A"/>
    <w:rsid w:val="00EE3159"/>
    <w:rsid w:val="00EE3EFF"/>
    <w:rsid w:val="00EE50D6"/>
    <w:rsid w:val="00EF2DCE"/>
    <w:rsid w:val="00EF2E53"/>
    <w:rsid w:val="00EF334F"/>
    <w:rsid w:val="00EF375C"/>
    <w:rsid w:val="00EF3B03"/>
    <w:rsid w:val="00F0125D"/>
    <w:rsid w:val="00F033D1"/>
    <w:rsid w:val="00F05304"/>
    <w:rsid w:val="00F06747"/>
    <w:rsid w:val="00F11064"/>
    <w:rsid w:val="00F12BAF"/>
    <w:rsid w:val="00F14B05"/>
    <w:rsid w:val="00F14FF3"/>
    <w:rsid w:val="00F1616F"/>
    <w:rsid w:val="00F17B1D"/>
    <w:rsid w:val="00F21F14"/>
    <w:rsid w:val="00F23F3C"/>
    <w:rsid w:val="00F2483C"/>
    <w:rsid w:val="00F250E6"/>
    <w:rsid w:val="00F26C88"/>
    <w:rsid w:val="00F32DEE"/>
    <w:rsid w:val="00F3498F"/>
    <w:rsid w:val="00F34F62"/>
    <w:rsid w:val="00F35E55"/>
    <w:rsid w:val="00F3767F"/>
    <w:rsid w:val="00F3798D"/>
    <w:rsid w:val="00F37F19"/>
    <w:rsid w:val="00F40A1D"/>
    <w:rsid w:val="00F40DE9"/>
    <w:rsid w:val="00F44E4D"/>
    <w:rsid w:val="00F450FF"/>
    <w:rsid w:val="00F46412"/>
    <w:rsid w:val="00F46D12"/>
    <w:rsid w:val="00F47B55"/>
    <w:rsid w:val="00F50565"/>
    <w:rsid w:val="00F53717"/>
    <w:rsid w:val="00F54358"/>
    <w:rsid w:val="00F54CA9"/>
    <w:rsid w:val="00F551E3"/>
    <w:rsid w:val="00F604F8"/>
    <w:rsid w:val="00F61B52"/>
    <w:rsid w:val="00F61F08"/>
    <w:rsid w:val="00F62076"/>
    <w:rsid w:val="00F63E0E"/>
    <w:rsid w:val="00F63FCF"/>
    <w:rsid w:val="00F64438"/>
    <w:rsid w:val="00F64E1E"/>
    <w:rsid w:val="00F64E62"/>
    <w:rsid w:val="00F66661"/>
    <w:rsid w:val="00F66C9A"/>
    <w:rsid w:val="00F67199"/>
    <w:rsid w:val="00F67716"/>
    <w:rsid w:val="00F72D7F"/>
    <w:rsid w:val="00F74A53"/>
    <w:rsid w:val="00F75358"/>
    <w:rsid w:val="00F757C3"/>
    <w:rsid w:val="00F8028A"/>
    <w:rsid w:val="00F80387"/>
    <w:rsid w:val="00F80C88"/>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96B"/>
    <w:rsid w:val="00FA6DB0"/>
    <w:rsid w:val="00FB1CA8"/>
    <w:rsid w:val="00FB40EC"/>
    <w:rsid w:val="00FB4E9B"/>
    <w:rsid w:val="00FB70A0"/>
    <w:rsid w:val="00FB74AC"/>
    <w:rsid w:val="00FB7B9F"/>
    <w:rsid w:val="00FC20A2"/>
    <w:rsid w:val="00FC3AA1"/>
    <w:rsid w:val="00FC40C8"/>
    <w:rsid w:val="00FD0345"/>
    <w:rsid w:val="00FD1455"/>
    <w:rsid w:val="00FD45F5"/>
    <w:rsid w:val="00FD5342"/>
    <w:rsid w:val="00FD5A1C"/>
    <w:rsid w:val="00FD6408"/>
    <w:rsid w:val="00FD6814"/>
    <w:rsid w:val="00FD72DC"/>
    <w:rsid w:val="00FE26C6"/>
    <w:rsid w:val="00FE354E"/>
    <w:rsid w:val="00FE374F"/>
    <w:rsid w:val="00FE63DC"/>
    <w:rsid w:val="00FE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character" w:styleId="Hyperlink">
    <w:name w:val="Hyperlink"/>
    <w:basedOn w:val="DefaultParagraphFont"/>
    <w:uiPriority w:val="99"/>
    <w:unhideWhenUsed/>
    <w:rsid w:val="005C6E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bmedcentr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A81F-4273-46DB-8196-9A2BA3FD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2</TotalTime>
  <Pages>13</Pages>
  <Words>3037</Words>
  <Characters>18383</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4</cp:revision>
  <dcterms:created xsi:type="dcterms:W3CDTF">2011-06-06T00:11:00Z</dcterms:created>
  <dcterms:modified xsi:type="dcterms:W3CDTF">2011-06-06T00:12:00Z</dcterms:modified>
</cp:coreProperties>
</file>