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84C" w:rsidRDefault="00E6284C" w:rsidP="001E64FE">
      <w:pPr>
        <w:pStyle w:val="APA"/>
      </w:pPr>
    </w:p>
    <w:p w:rsidR="008D1BBF" w:rsidRDefault="008D1BBF" w:rsidP="001E64FE">
      <w:pPr>
        <w:pStyle w:val="APA"/>
      </w:pPr>
    </w:p>
    <w:p w:rsidR="001E64FE" w:rsidRPr="001145C9" w:rsidRDefault="001145C9" w:rsidP="001E64FE">
      <w:pPr>
        <w:pStyle w:val="APA"/>
        <w:rPr>
          <w:color w:val="FF0000"/>
        </w:rPr>
      </w:pPr>
      <w:r w:rsidRPr="001145C9">
        <w:rPr>
          <w:color w:val="FF0000"/>
        </w:rPr>
        <w:t>24.75/25</w:t>
      </w:r>
    </w:p>
    <w:p w:rsidR="001E64FE" w:rsidRDefault="001E64FE" w:rsidP="001E64FE">
      <w:pPr>
        <w:pStyle w:val="APA"/>
      </w:pPr>
    </w:p>
    <w:p w:rsidR="001E64FE" w:rsidRDefault="001E64FE" w:rsidP="001E64FE">
      <w:pPr>
        <w:pStyle w:val="APAHeadingCenter"/>
      </w:pPr>
      <w:bookmarkStart w:id="0" w:name="bmTitlePageTitle"/>
      <w:r>
        <w:t>Case Study 4.2 Prescription Pain Medication Misuse</w:t>
      </w:r>
      <w:bookmarkEnd w:id="0"/>
    </w:p>
    <w:p w:rsidR="001E64FE" w:rsidRDefault="001E64FE" w:rsidP="001E64FE">
      <w:pPr>
        <w:pStyle w:val="APAHeadingCenter"/>
      </w:pPr>
      <w:bookmarkStart w:id="1" w:name="bmTitlePageName"/>
      <w:r>
        <w:t xml:space="preserve">Paula </w:t>
      </w:r>
      <w:proofErr w:type="spellStart"/>
      <w:r>
        <w:t>Ridl</w:t>
      </w:r>
      <w:bookmarkEnd w:id="1"/>
      <w:proofErr w:type="spellEnd"/>
    </w:p>
    <w:p w:rsidR="001E64FE" w:rsidRDefault="001E64FE" w:rsidP="001E64FE">
      <w:pPr>
        <w:pStyle w:val="APAHeadingCenter"/>
      </w:pPr>
      <w:bookmarkStart w:id="2" w:name="bmTitlePageInst"/>
      <w:r>
        <w:t>Lakeview College of Nursing</w:t>
      </w:r>
      <w:bookmarkEnd w:id="2"/>
    </w:p>
    <w:p w:rsidR="001E64FE" w:rsidRDefault="001E64FE" w:rsidP="001E64FE">
      <w:pPr>
        <w:pStyle w:val="APAHeadingCenter"/>
      </w:pPr>
      <w:bookmarkStart w:id="3" w:name="bmTitleAdd1"/>
      <w:r>
        <w:t xml:space="preserve">Nursing of the </w:t>
      </w:r>
      <w:proofErr w:type="spellStart"/>
      <w:r>
        <w:t>Gerontological</w:t>
      </w:r>
      <w:proofErr w:type="spellEnd"/>
      <w:r>
        <w:t xml:space="preserve"> Client</w:t>
      </w:r>
      <w:bookmarkEnd w:id="3"/>
    </w:p>
    <w:p w:rsidR="001E64FE" w:rsidRDefault="001E64FE" w:rsidP="001E64FE">
      <w:pPr>
        <w:pStyle w:val="APAHeadingCenter"/>
      </w:pPr>
      <w:bookmarkStart w:id="4" w:name="bmTitleAdd2"/>
      <w:r>
        <w:t>N309</w:t>
      </w:r>
      <w:bookmarkEnd w:id="4"/>
    </w:p>
    <w:p w:rsidR="001E64FE" w:rsidRDefault="001E64FE" w:rsidP="001E64FE">
      <w:pPr>
        <w:pStyle w:val="APAHeadingCenter"/>
      </w:pPr>
      <w:bookmarkStart w:id="5" w:name="bmTitleAdd3"/>
      <w:r>
        <w:t>Mary Edwards</w:t>
      </w:r>
      <w:bookmarkEnd w:id="5"/>
    </w:p>
    <w:p w:rsidR="001E64FE" w:rsidRDefault="001E64FE" w:rsidP="001E64FE">
      <w:pPr>
        <w:pStyle w:val="APAHeadingCenter"/>
      </w:pPr>
      <w:bookmarkStart w:id="6" w:name="bmTitleAdd4"/>
      <w:r>
        <w:t>September 18, 2012</w:t>
      </w:r>
      <w:bookmarkEnd w:id="6"/>
    </w:p>
    <w:p w:rsidR="001E64FE" w:rsidRDefault="001E64FE" w:rsidP="001E64FE">
      <w:pPr>
        <w:pStyle w:val="APA"/>
        <w:sectPr w:rsidR="001E64FE" w:rsidSect="001E64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1E64FE" w:rsidRDefault="001E64FE" w:rsidP="001E64FE">
      <w:pPr>
        <w:pStyle w:val="APA"/>
        <w:sectPr w:rsidR="001E64FE" w:rsidSect="001E64FE">
          <w:headerReference w:type="first" r:id="rId13"/>
          <w:type w:val="continuous"/>
          <w:pgSz w:w="12240" w:h="15840" w:code="1"/>
          <w:pgMar w:top="1440" w:right="1440" w:bottom="1440" w:left="1440" w:header="720" w:footer="720" w:gutter="0"/>
          <w:cols w:space="720"/>
          <w:titlePg/>
          <w:docGrid w:linePitch="360"/>
        </w:sectPr>
      </w:pPr>
    </w:p>
    <w:p w:rsidR="001E64FE" w:rsidRDefault="001E64FE" w:rsidP="001E64FE">
      <w:pPr>
        <w:pStyle w:val="APAHeadingCenter"/>
      </w:pPr>
      <w:bookmarkStart w:id="7" w:name="bmFirstPageTitle"/>
      <w:r>
        <w:lastRenderedPageBreak/>
        <w:t>Case Study 4.2 Prescription Pain Medication Misuse</w:t>
      </w:r>
      <w:bookmarkEnd w:id="7"/>
    </w:p>
    <w:p w:rsidR="001E64FE" w:rsidRDefault="008D1BBF" w:rsidP="008D1BBF">
      <w:pPr>
        <w:pStyle w:val="APA"/>
        <w:numPr>
          <w:ilvl w:val="0"/>
          <w:numId w:val="1"/>
        </w:numPr>
      </w:pPr>
      <w:r>
        <w:t xml:space="preserve"> </w:t>
      </w:r>
      <w:r w:rsidR="00CF106B">
        <w:t>Some risks with multi-</w:t>
      </w:r>
      <w:proofErr w:type="spellStart"/>
      <w:r w:rsidR="00CF106B">
        <w:t>prescriber</w:t>
      </w:r>
      <w:proofErr w:type="spellEnd"/>
      <w:r w:rsidR="00CF106B">
        <w:t xml:space="preserve"> medication </w:t>
      </w:r>
      <w:r w:rsidR="00975C5A">
        <w:t xml:space="preserve">seeking behaviors are drug-drug </w:t>
      </w:r>
      <w:r w:rsidR="00CF106B">
        <w:t xml:space="preserve">interactions, inappropriate prescribing, falls, </w:t>
      </w:r>
      <w:r w:rsidR="006E0FC2">
        <w:t>adverse drug effects, increase in number of emergency room visits and hospitalizations, toxicity, allergies, OTC, herbal remedies,</w:t>
      </w:r>
      <w:r w:rsidR="00B83AA8">
        <w:t xml:space="preserve"> </w:t>
      </w:r>
      <w:proofErr w:type="spellStart"/>
      <w:r w:rsidR="00B83AA8">
        <w:t>polypharmacy</w:t>
      </w:r>
      <w:proofErr w:type="spellEnd"/>
      <w:r w:rsidR="00B83AA8">
        <w:t>,</w:t>
      </w:r>
      <w:r w:rsidR="006E0FC2">
        <w:t xml:space="preserve"> drug-disease interactions</w:t>
      </w:r>
      <w:r w:rsidR="007F0FE1">
        <w:t xml:space="preserve">, </w:t>
      </w:r>
      <w:r w:rsidR="00676FC2">
        <w:t xml:space="preserve">medication adherence, </w:t>
      </w:r>
      <w:r w:rsidR="007F0FE1">
        <w:t>and drug overdose resulting in death</w:t>
      </w:r>
      <w:r w:rsidR="006E0FC2">
        <w:t xml:space="preserve"> </w:t>
      </w:r>
      <w:bookmarkStart w:id="8" w:name="C411464847337963I0T411705431944444"/>
      <w:r w:rsidR="006E0FC2">
        <w:t>(</w:t>
      </w:r>
      <w:proofErr w:type="spellStart"/>
      <w:r w:rsidR="006E0FC2">
        <w:t>Mauk</w:t>
      </w:r>
      <w:proofErr w:type="spellEnd"/>
      <w:r w:rsidR="006E0FC2">
        <w:t>, 2010)</w:t>
      </w:r>
      <w:bookmarkEnd w:id="8"/>
      <w:r w:rsidR="00B83AA8">
        <w:t>.</w:t>
      </w:r>
    </w:p>
    <w:p w:rsidR="00196E30" w:rsidRDefault="00B02E3B" w:rsidP="00975C5A">
      <w:pPr>
        <w:pStyle w:val="APA"/>
        <w:numPr>
          <w:ilvl w:val="0"/>
          <w:numId w:val="1"/>
        </w:numPr>
      </w:pPr>
      <w:r>
        <w:t>To reduce the incidence of multiple prescriptions for the same controlled substances, the provider and the pharmacist can access the Illinois Prescription Monitoring Program</w:t>
      </w:r>
      <w:r w:rsidR="00975C5A">
        <w:t xml:space="preserve"> </w:t>
      </w:r>
      <w:r>
        <w:t>by logging in and checking their client’s history of prescriptions</w:t>
      </w:r>
      <w:bookmarkStart w:id="9" w:name="C411706247222222I0T411706252083333"/>
      <w:r>
        <w:t xml:space="preserve"> (Illinois Prescription Monitoring Program website, n.d.)</w:t>
      </w:r>
      <w:bookmarkEnd w:id="9"/>
      <w:r>
        <w:t>.</w:t>
      </w:r>
    </w:p>
    <w:p w:rsidR="001145C9" w:rsidRPr="001145C9" w:rsidRDefault="001145C9" w:rsidP="001145C9">
      <w:pPr>
        <w:overflowPunct/>
        <w:textAlignment w:val="auto"/>
        <w:rPr>
          <w:rFonts w:ascii="ITCGaramondStd-Bk" w:hAnsi="ITCGaramondStd-Bk" w:cs="ITCGaramondStd-Bk"/>
          <w:color w:val="FF0000"/>
        </w:rPr>
      </w:pPr>
      <w:r w:rsidRPr="001145C9">
        <w:rPr>
          <w:color w:val="FF0000"/>
        </w:rPr>
        <w:t xml:space="preserve">A few other examples </w:t>
      </w:r>
      <w:r w:rsidRPr="001145C9">
        <w:rPr>
          <w:rFonts w:ascii="ITCGaramondStd-Bk" w:hAnsi="ITCGaramondStd-Bk" w:cs="ITCGaramondStd-Bk"/>
          <w:color w:val="FF0000"/>
        </w:rPr>
        <w:t xml:space="preserve">• Educate the patient on the risks of tolerance and medication misuse. • Involve the patient in their treatment plan. • Acknowledge and empathize in the fact that if the patient has an existing condition causing pain, they will need to have some type of pain medication; educate on the effectiveness of non-narcotic analgesic use. • Involve family in care planning, as they can serve as support to reduce medication abuse, and gain more accurate reporting on controlled substance use. • Coordinate care/require a medication card for every care visit between providers/specialties. • Establish electronic health records (EHR). • Develop a shared, controlled substance registry between pharmacies.  *Verification by the pharmacist when the provider suspects the patient has multiple prescriptions </w:t>
      </w:r>
    </w:p>
    <w:p w:rsidR="001145C9" w:rsidRDefault="001145C9" w:rsidP="001145C9">
      <w:pPr>
        <w:overflowPunct/>
        <w:textAlignment w:val="auto"/>
      </w:pPr>
    </w:p>
    <w:p w:rsidR="00196E30" w:rsidRDefault="009E7326" w:rsidP="00975C5A">
      <w:pPr>
        <w:pStyle w:val="APA"/>
        <w:numPr>
          <w:ilvl w:val="0"/>
          <w:numId w:val="1"/>
        </w:numPr>
      </w:pPr>
      <w:r>
        <w:t xml:space="preserve">Amount and type of drugs and alcohol consumed by the client or family members residing with the client </w:t>
      </w:r>
      <w:bookmarkStart w:id="10" w:name="C410726541087963I0T411726142939815"/>
      <w:r>
        <w:t>(</w:t>
      </w:r>
      <w:proofErr w:type="spellStart"/>
      <w:r>
        <w:t>Keltner</w:t>
      </w:r>
      <w:proofErr w:type="spellEnd"/>
      <w:r>
        <w:t xml:space="preserve">, </w:t>
      </w:r>
      <w:proofErr w:type="spellStart"/>
      <w:r>
        <w:t>Bostrom</w:t>
      </w:r>
      <w:proofErr w:type="spellEnd"/>
      <w:r>
        <w:t xml:space="preserve">, &amp; </w:t>
      </w:r>
      <w:proofErr w:type="spellStart"/>
      <w:r>
        <w:t>McGuinness</w:t>
      </w:r>
      <w:proofErr w:type="spellEnd"/>
      <w:r>
        <w:t>, 2011)</w:t>
      </w:r>
      <w:bookmarkEnd w:id="10"/>
      <w:r>
        <w:t>.</w:t>
      </w:r>
    </w:p>
    <w:p w:rsidR="009E7326" w:rsidRDefault="009E7326" w:rsidP="009E7326">
      <w:pPr>
        <w:pStyle w:val="APA"/>
        <w:ind w:left="1080" w:firstLine="0"/>
      </w:pPr>
      <w:r>
        <w:t xml:space="preserve">Amount of each prescription medication consumed by the client versus the original prescription </w:t>
      </w:r>
      <w:bookmarkStart w:id="11" w:name="C410726541087963I0T411726149652778"/>
      <w:r>
        <w:t>(</w:t>
      </w:r>
      <w:proofErr w:type="spellStart"/>
      <w:r>
        <w:t>Keltner</w:t>
      </w:r>
      <w:proofErr w:type="spellEnd"/>
      <w:r>
        <w:t xml:space="preserve"> et al., 2011)</w:t>
      </w:r>
      <w:bookmarkEnd w:id="11"/>
      <w:r>
        <w:t>.</w:t>
      </w:r>
    </w:p>
    <w:p w:rsidR="001145C9" w:rsidRPr="001145C9" w:rsidRDefault="001145C9" w:rsidP="001145C9">
      <w:pPr>
        <w:overflowPunct/>
        <w:textAlignment w:val="auto"/>
        <w:rPr>
          <w:rFonts w:ascii="ITCGaramondStd-Bk" w:hAnsi="ITCGaramondStd-Bk" w:cs="ITCGaramondStd-Bk"/>
          <w:color w:val="FF0000"/>
        </w:rPr>
      </w:pPr>
      <w:r>
        <w:t xml:space="preserve"> </w:t>
      </w:r>
      <w:r w:rsidRPr="001145C9">
        <w:rPr>
          <w:rFonts w:ascii="ITCGaramondStd-Bk" w:hAnsi="ITCGaramondStd-Bk" w:cs="ITCGaramondStd-Bk"/>
          <w:color w:val="FF0000"/>
        </w:rPr>
        <w:t xml:space="preserve">What kind of pain medications do you take? What </w:t>
      </w:r>
      <w:proofErr w:type="spellStart"/>
      <w:r w:rsidRPr="001145C9">
        <w:rPr>
          <w:rFonts w:ascii="ITCGaramondStd-Bk" w:hAnsi="ITCGaramondStd-Bk" w:cs="ITCGaramondStd-Bk"/>
          <w:color w:val="FF0000"/>
        </w:rPr>
        <w:t>dose</w:t>
      </w:r>
      <w:proofErr w:type="spellEnd"/>
      <w:r w:rsidRPr="001145C9">
        <w:rPr>
          <w:rFonts w:ascii="ITCGaramondStd-Bk" w:hAnsi="ITCGaramondStd-Bk" w:cs="ITCGaramondStd-Bk"/>
          <w:color w:val="FF0000"/>
        </w:rPr>
        <w:t>? What form? On average, how many times of day do you take this medication and how many? How long have you been taking this amount in this pattern? How often? Have you ever attempted to stop taking this medication? How did you feel? Do you have a history of alcohol or drug abuse or dependence?</w:t>
      </w:r>
    </w:p>
    <w:p w:rsidR="001145C9" w:rsidRDefault="001145C9" w:rsidP="001145C9">
      <w:pPr>
        <w:overflowPunct/>
        <w:textAlignment w:val="auto"/>
      </w:pPr>
    </w:p>
    <w:p w:rsidR="009E7326" w:rsidRDefault="009E7326" w:rsidP="009E7326">
      <w:pPr>
        <w:pStyle w:val="APA"/>
        <w:ind w:left="1080" w:firstLine="0"/>
      </w:pPr>
      <w:r>
        <w:t xml:space="preserve">Medical problems that is associated with alcohol and drug use by the client or family members residing with the client </w:t>
      </w:r>
      <w:bookmarkStart w:id="12" w:name="C410726541087963I0T411726172569444"/>
      <w:r>
        <w:t>(</w:t>
      </w:r>
      <w:proofErr w:type="spellStart"/>
      <w:r>
        <w:t>Keltner</w:t>
      </w:r>
      <w:proofErr w:type="spellEnd"/>
      <w:r>
        <w:t xml:space="preserve"> et al., 2011)</w:t>
      </w:r>
      <w:bookmarkEnd w:id="12"/>
      <w:r>
        <w:t>.</w:t>
      </w:r>
    </w:p>
    <w:p w:rsidR="009E7326" w:rsidRDefault="009E7326" w:rsidP="009E7326">
      <w:pPr>
        <w:pStyle w:val="APA"/>
        <w:ind w:left="1080" w:firstLine="0"/>
      </w:pPr>
      <w:r>
        <w:t xml:space="preserve">Screen client through urinalysis and/or blood work for objective information regarding alcohol and drug use </w:t>
      </w:r>
      <w:bookmarkStart w:id="13" w:name="C410726541087963I0T411726179282407"/>
      <w:r>
        <w:t>(</w:t>
      </w:r>
      <w:proofErr w:type="spellStart"/>
      <w:r>
        <w:t>Keltner</w:t>
      </w:r>
      <w:proofErr w:type="spellEnd"/>
      <w:r>
        <w:t xml:space="preserve"> et al., 2011)</w:t>
      </w:r>
      <w:bookmarkEnd w:id="13"/>
      <w:r>
        <w:t>.</w:t>
      </w:r>
    </w:p>
    <w:p w:rsidR="00621A81" w:rsidRPr="00621A81" w:rsidRDefault="00621A81" w:rsidP="009E7326">
      <w:pPr>
        <w:pStyle w:val="APA"/>
        <w:ind w:left="1080" w:firstLine="0"/>
      </w:pPr>
      <w:r>
        <w:lastRenderedPageBreak/>
        <w:t xml:space="preserve">The nurse could also ask questions about recent accidents, injuries, or absenteeism from work or school </w:t>
      </w:r>
      <w:bookmarkStart w:id="14" w:name="C410726541087963I0T411726192361111"/>
      <w:r>
        <w:t>(</w:t>
      </w:r>
      <w:proofErr w:type="spellStart"/>
      <w:r>
        <w:t>Keltner</w:t>
      </w:r>
      <w:proofErr w:type="spellEnd"/>
      <w:r>
        <w:t xml:space="preserve"> et al., 2011)</w:t>
      </w:r>
      <w:bookmarkEnd w:id="14"/>
      <w:r>
        <w:t>.</w:t>
      </w:r>
    </w:p>
    <w:p w:rsidR="00CF106B" w:rsidRDefault="005F4DF6" w:rsidP="00975C5A">
      <w:pPr>
        <w:pStyle w:val="APA"/>
        <w:numPr>
          <w:ilvl w:val="0"/>
          <w:numId w:val="1"/>
        </w:numPr>
      </w:pPr>
      <w:r>
        <w:t xml:space="preserve">Abruptly stopping benzodiazepines or </w:t>
      </w:r>
      <w:proofErr w:type="spellStart"/>
      <w:r>
        <w:t>opioids</w:t>
      </w:r>
      <w:proofErr w:type="spellEnd"/>
      <w:r>
        <w:t xml:space="preserve"> put her at highest risk for symptoms of withdrawal and breakthrough pain</w:t>
      </w:r>
      <w:r w:rsidR="00A0104C">
        <w:t xml:space="preserve"> </w:t>
      </w:r>
      <w:bookmarkStart w:id="15" w:name="C411464847337963I0T411705789930556"/>
      <w:r w:rsidR="00A0104C">
        <w:t>(</w:t>
      </w:r>
      <w:proofErr w:type="spellStart"/>
      <w:r w:rsidR="00A0104C">
        <w:t>Mauk</w:t>
      </w:r>
      <w:proofErr w:type="spellEnd"/>
      <w:r w:rsidR="00A0104C">
        <w:t>, 2010)</w:t>
      </w:r>
      <w:bookmarkEnd w:id="15"/>
      <w:r w:rsidR="00A0104C">
        <w:t>.</w:t>
      </w:r>
    </w:p>
    <w:p w:rsidR="00CF106B" w:rsidRPr="00601E56" w:rsidRDefault="00A0104C" w:rsidP="00975C5A">
      <w:pPr>
        <w:pStyle w:val="APA"/>
        <w:numPr>
          <w:ilvl w:val="0"/>
          <w:numId w:val="1"/>
        </w:numPr>
      </w:pPr>
      <w:r>
        <w:t xml:space="preserve">Signs and symptoms of </w:t>
      </w:r>
      <w:proofErr w:type="spellStart"/>
      <w:r>
        <w:t>opioid</w:t>
      </w:r>
      <w:proofErr w:type="spellEnd"/>
      <w:r>
        <w:t xml:space="preserve"> withdrawal  include, anxiety, restlessness, insomnia, diaphoresis, dilation of pupils, goose bumps, loss of appetite, nausea, vomiting, diarrhea, fever, increased respiratory rate, increased systolic blood pressure, muscle cramps, and dehydration with the onset and duration</w:t>
      </w:r>
      <w:r w:rsidR="00601E56">
        <w:t xml:space="preserve"> depending on the </w:t>
      </w:r>
      <w:proofErr w:type="spellStart"/>
      <w:r w:rsidR="00601E56">
        <w:t>opioid</w:t>
      </w:r>
      <w:proofErr w:type="spellEnd"/>
      <w:r w:rsidR="00601E56">
        <w:t xml:space="preserve"> </w:t>
      </w:r>
      <w:bookmarkStart w:id="16" w:name="C411705815856481I0T411705830208333"/>
      <w:r w:rsidR="00601E56">
        <w:t xml:space="preserve">(Abrams, Pennington, &amp; </w:t>
      </w:r>
      <w:proofErr w:type="spellStart"/>
      <w:r w:rsidR="00601E56">
        <w:t>Lammon</w:t>
      </w:r>
      <w:proofErr w:type="spellEnd"/>
      <w:r w:rsidR="00601E56">
        <w:t>, 2009)</w:t>
      </w:r>
      <w:bookmarkEnd w:id="16"/>
      <w:r w:rsidR="00601E56">
        <w:t>.</w:t>
      </w:r>
    </w:p>
    <w:p w:rsidR="00601E56" w:rsidRDefault="00EB466C" w:rsidP="00975C5A">
      <w:pPr>
        <w:pStyle w:val="APA"/>
        <w:numPr>
          <w:ilvl w:val="0"/>
          <w:numId w:val="1"/>
        </w:numPr>
      </w:pPr>
      <w:proofErr w:type="spellStart"/>
      <w:r>
        <w:t>Opioid</w:t>
      </w:r>
      <w:proofErr w:type="spellEnd"/>
      <w:r>
        <w:t xml:space="preserve"> withdrawal symptom onset varies depending on the </w:t>
      </w:r>
      <w:proofErr w:type="spellStart"/>
      <w:r>
        <w:t>opioid</w:t>
      </w:r>
      <w:proofErr w:type="spellEnd"/>
      <w:r w:rsidR="00FF0AFF">
        <w:t xml:space="preserve"> </w:t>
      </w:r>
      <w:bookmarkStart w:id="17" w:name="C411705815856481I0T411705901736111"/>
      <w:r w:rsidR="00FF0AFF">
        <w:t>(Abrams et al., 2009)</w:t>
      </w:r>
      <w:bookmarkEnd w:id="17"/>
      <w:r>
        <w:t xml:space="preserve">.   Symptoms of Morphine withdrawal usually appear within a few hours of the last dose received and are at their worst in 36 to 72 hours but lessen in </w:t>
      </w:r>
      <w:r w:rsidR="00FF0AFF">
        <w:t>eight</w:t>
      </w:r>
      <w:r>
        <w:t xml:space="preserve"> to </w:t>
      </w:r>
      <w:r w:rsidR="00FF0AFF">
        <w:t xml:space="preserve">ten </w:t>
      </w:r>
      <w:r>
        <w:t>days</w:t>
      </w:r>
      <w:r w:rsidR="00FF0AFF">
        <w:t xml:space="preserve"> </w:t>
      </w:r>
      <w:bookmarkStart w:id="18" w:name="C411705815856481I0T411705903472222"/>
      <w:r w:rsidR="00FF0AFF">
        <w:t>(Abrams et al., 2009)</w:t>
      </w:r>
      <w:bookmarkEnd w:id="18"/>
      <w:r>
        <w:t>.  Symptoms of Methadone withdrawal</w:t>
      </w:r>
      <w:r w:rsidR="00FF0AFF">
        <w:t xml:space="preserve"> usually appear within one to two days and are at their worst in three days and lessen over a few weeks </w:t>
      </w:r>
      <w:bookmarkStart w:id="19" w:name="C411705815856481I0T411705904861111"/>
      <w:r w:rsidR="00FF0AFF">
        <w:t>(Abrams et al., 2009)</w:t>
      </w:r>
      <w:bookmarkEnd w:id="19"/>
      <w:r w:rsidR="00FF0AFF">
        <w:t>.</w:t>
      </w:r>
      <w:r>
        <w:t xml:space="preserve"> </w:t>
      </w:r>
    </w:p>
    <w:p w:rsidR="009725A9" w:rsidRPr="00DB4770" w:rsidRDefault="00695FA4" w:rsidP="00975C5A">
      <w:pPr>
        <w:pStyle w:val="APA"/>
        <w:numPr>
          <w:ilvl w:val="0"/>
          <w:numId w:val="1"/>
        </w:numPr>
      </w:pPr>
      <w:r>
        <w:t xml:space="preserve">The clinical pharmacist understands that the use of benzodiazepines and </w:t>
      </w:r>
      <w:proofErr w:type="spellStart"/>
      <w:r>
        <w:t>opioid</w:t>
      </w:r>
      <w:proofErr w:type="spellEnd"/>
      <w:r>
        <w:t xml:space="preserve"> put her at significant risk for falls</w:t>
      </w:r>
      <w:r w:rsidR="00DB4770">
        <w:t xml:space="preserve">, constipation, and accidental overdose </w:t>
      </w:r>
      <w:bookmarkStart w:id="20" w:name="C411705815856481I0T411706001620370"/>
      <w:r w:rsidR="00DB4770">
        <w:t>(Abrams et al., 2009)</w:t>
      </w:r>
      <w:bookmarkEnd w:id="20"/>
      <w:r w:rsidR="00DB4770">
        <w:t>.</w:t>
      </w:r>
    </w:p>
    <w:p w:rsidR="009E7326" w:rsidRDefault="007B4F8C" w:rsidP="005D12E6">
      <w:pPr>
        <w:pStyle w:val="APA"/>
        <w:numPr>
          <w:ilvl w:val="0"/>
          <w:numId w:val="1"/>
        </w:numPr>
      </w:pPr>
      <w:r>
        <w:t xml:space="preserve">Some recommendations the nurse could give to increase the probability that Beatrice will adhere to her new care plan are have the pharmacy put her son’s prescriptions in child proof caps that are harder to remove by her since she has osteoarthritis, educate and provide written instructions on the names both brand and generic, the schedule of administration, dosage, and side effects to report and to whom </w:t>
      </w:r>
      <w:bookmarkStart w:id="21" w:name="C411464847337963I0T411706098842593"/>
      <w:r>
        <w:t>(</w:t>
      </w:r>
      <w:proofErr w:type="spellStart"/>
      <w:r>
        <w:t>Mauk</w:t>
      </w:r>
      <w:proofErr w:type="spellEnd"/>
      <w:r>
        <w:t>, 2010)</w:t>
      </w:r>
      <w:bookmarkEnd w:id="21"/>
      <w:r>
        <w:t xml:space="preserve">.  Also </w:t>
      </w:r>
      <w:r>
        <w:lastRenderedPageBreak/>
        <w:t>provide her with a phone number and name of person to call with medication questions</w:t>
      </w:r>
      <w:bookmarkStart w:id="22" w:name="C411464847337963I0T411706100000000"/>
      <w:r>
        <w:t xml:space="preserve"> (</w:t>
      </w:r>
      <w:proofErr w:type="spellStart"/>
      <w:r>
        <w:t>Mauk</w:t>
      </w:r>
      <w:proofErr w:type="spellEnd"/>
      <w:r>
        <w:t>, 2010)</w:t>
      </w:r>
      <w:bookmarkEnd w:id="22"/>
      <w:r>
        <w:t xml:space="preserve">.  The nurse could ask the provider to limit </w:t>
      </w:r>
      <w:r w:rsidR="0032398C">
        <w:t>the frequency,</w:t>
      </w:r>
      <w:r>
        <w:t xml:space="preserve"> number of prescriptions</w:t>
      </w:r>
      <w:r w:rsidR="0032398C">
        <w:t xml:space="preserve">, and generic instead of brand name to help with medication costs </w:t>
      </w:r>
      <w:bookmarkStart w:id="23" w:name="C411464847337963I0T411706121412037"/>
      <w:r w:rsidR="0032398C">
        <w:t>(</w:t>
      </w:r>
      <w:proofErr w:type="spellStart"/>
      <w:r w:rsidR="0032398C">
        <w:t>Mauk</w:t>
      </w:r>
      <w:proofErr w:type="spellEnd"/>
      <w:r w:rsidR="0032398C">
        <w:t>, 2010)</w:t>
      </w:r>
      <w:bookmarkEnd w:id="23"/>
      <w:r w:rsidR="0032398C">
        <w:t xml:space="preserve">.  A social worker could also be involved to help with the financial end of the medications needed </w:t>
      </w:r>
      <w:bookmarkStart w:id="24" w:name="C411464847337963I0T411706135532407"/>
      <w:r w:rsidR="0032398C">
        <w:t>(</w:t>
      </w:r>
      <w:proofErr w:type="spellStart"/>
      <w:r w:rsidR="0032398C">
        <w:t>Mauk</w:t>
      </w:r>
      <w:proofErr w:type="spellEnd"/>
      <w:r w:rsidR="0032398C">
        <w:t>, 2010)</w:t>
      </w:r>
      <w:bookmarkEnd w:id="24"/>
      <w:r w:rsidR="0032398C">
        <w:t xml:space="preserve">.  Pill bottles should be easy to open because of her OA and large print </w:t>
      </w:r>
      <w:bookmarkStart w:id="25" w:name="C411464847337963I0T411706143865741"/>
      <w:r w:rsidR="0032398C">
        <w:t>(</w:t>
      </w:r>
      <w:proofErr w:type="spellStart"/>
      <w:r w:rsidR="0032398C">
        <w:t>Mauk</w:t>
      </w:r>
      <w:proofErr w:type="spellEnd"/>
      <w:r w:rsidR="0032398C">
        <w:t>, 2010)</w:t>
      </w:r>
      <w:bookmarkEnd w:id="25"/>
      <w:r w:rsidR="0032398C">
        <w:t xml:space="preserve">.  Weekly pill boxes could be implemented and filled either by the client or a health care provider each week </w:t>
      </w:r>
      <w:bookmarkStart w:id="26" w:name="C411464847337963I0T411706149305556"/>
      <w:r w:rsidR="0032398C">
        <w:t>(</w:t>
      </w:r>
      <w:proofErr w:type="spellStart"/>
      <w:r w:rsidR="0032398C">
        <w:t>Mauk</w:t>
      </w:r>
      <w:proofErr w:type="spellEnd"/>
      <w:r w:rsidR="0032398C">
        <w:t>, 2010)</w:t>
      </w:r>
      <w:bookmarkEnd w:id="26"/>
      <w:r w:rsidR="0032398C">
        <w:t xml:space="preserve">.  The client could purchase a high tech option of a beeping pillbox, talking watch, electronic medication vials, and an organizer </w:t>
      </w:r>
      <w:bookmarkStart w:id="27" w:name="C411464847337963I0T411706157986111"/>
      <w:r w:rsidR="0032398C">
        <w:t>(</w:t>
      </w:r>
      <w:proofErr w:type="spellStart"/>
      <w:r w:rsidR="0032398C">
        <w:t>Mauk</w:t>
      </w:r>
      <w:proofErr w:type="spellEnd"/>
      <w:r w:rsidR="0032398C">
        <w:t>, 2010)</w:t>
      </w:r>
      <w:bookmarkEnd w:id="27"/>
      <w:r w:rsidR="0032398C">
        <w:t xml:space="preserve">.  </w:t>
      </w:r>
      <w:r w:rsidR="00755957">
        <w:t xml:space="preserve">The nurse should encourage the client to keep scheduled appointments and call with any questions or concerns regarding her medication and treatment plan </w:t>
      </w:r>
      <w:bookmarkStart w:id="28" w:name="C411464847337963I0T411706166550926"/>
      <w:r w:rsidR="00755957">
        <w:t>(</w:t>
      </w:r>
      <w:proofErr w:type="spellStart"/>
      <w:r w:rsidR="00755957">
        <w:t>Mauk</w:t>
      </w:r>
      <w:proofErr w:type="spellEnd"/>
      <w:r w:rsidR="00755957">
        <w:t>, 2010)</w:t>
      </w:r>
      <w:bookmarkEnd w:id="28"/>
      <w:r w:rsidR="00755957">
        <w:t>.</w:t>
      </w:r>
    </w:p>
    <w:p w:rsidR="006E0FC2" w:rsidRDefault="009E7326" w:rsidP="005D12E6">
      <w:pPr>
        <w:pStyle w:val="APAHeadingCenter"/>
        <w:numPr>
          <w:ilvl w:val="0"/>
          <w:numId w:val="1"/>
        </w:numPr>
      </w:pPr>
      <w:r>
        <w:br w:type="page"/>
      </w:r>
      <w:commentRangeStart w:id="29"/>
      <w:r>
        <w:lastRenderedPageBreak/>
        <w:t>References</w:t>
      </w:r>
      <w:commentRangeEnd w:id="29"/>
      <w:r w:rsidR="001145C9">
        <w:rPr>
          <w:rStyle w:val="CommentReference"/>
        </w:rPr>
        <w:commentReference w:id="29"/>
      </w:r>
    </w:p>
    <w:p w:rsidR="009E7326" w:rsidRDefault="009E7326" w:rsidP="009E7326">
      <w:pPr>
        <w:pStyle w:val="APAReference"/>
      </w:pPr>
      <w:bookmarkStart w:id="30" w:name="R411705815856481I0"/>
      <w:proofErr w:type="gramStart"/>
      <w:r>
        <w:t xml:space="preserve">Abrams, A. C., Pennington, S. S., &amp; </w:t>
      </w:r>
      <w:proofErr w:type="spellStart"/>
      <w:r>
        <w:t>Lammon</w:t>
      </w:r>
      <w:proofErr w:type="spellEnd"/>
      <w:r>
        <w:t>, C. B. (2009).</w:t>
      </w:r>
      <w:proofErr w:type="gramEnd"/>
      <w:r>
        <w:t xml:space="preserve"> </w:t>
      </w:r>
      <w:r>
        <w:rPr>
          <w:i/>
        </w:rPr>
        <w:t>Clinical drug therapy rationales for nursing practice</w:t>
      </w:r>
      <w:r>
        <w:t xml:space="preserve"> (9th </w:t>
      </w:r>
      <w:proofErr w:type="gramStart"/>
      <w:r>
        <w:t>ed</w:t>
      </w:r>
      <w:proofErr w:type="gramEnd"/>
      <w:r>
        <w:t>.). Philadelphia, PA: Lippincott Williams &amp; Wilkins.</w:t>
      </w:r>
      <w:bookmarkEnd w:id="30"/>
    </w:p>
    <w:p w:rsidR="009E7326" w:rsidRDefault="009E7326" w:rsidP="009E7326">
      <w:pPr>
        <w:pStyle w:val="APAReference"/>
      </w:pPr>
      <w:bookmarkStart w:id="31" w:name="R411706247222222I0"/>
      <w:proofErr w:type="gramStart"/>
      <w:r>
        <w:t>Illinois Prescription Monitoring Program website.</w:t>
      </w:r>
      <w:proofErr w:type="gramEnd"/>
      <w:r>
        <w:t xml:space="preserve"> </w:t>
      </w:r>
      <w:proofErr w:type="gramStart"/>
      <w:r>
        <w:t>(n.d.).</w:t>
      </w:r>
      <w:proofErr w:type="gramEnd"/>
      <w:r>
        <w:t xml:space="preserve"> https://www.ilpmp.org/</w:t>
      </w:r>
      <w:bookmarkEnd w:id="31"/>
    </w:p>
    <w:p w:rsidR="009E7326" w:rsidRDefault="009E7326" w:rsidP="009E7326">
      <w:pPr>
        <w:pStyle w:val="APAReference"/>
      </w:pPr>
      <w:bookmarkStart w:id="32" w:name="R410726541087963I0"/>
      <w:proofErr w:type="spellStart"/>
      <w:proofErr w:type="gramStart"/>
      <w:r>
        <w:t>Keltner</w:t>
      </w:r>
      <w:proofErr w:type="spellEnd"/>
      <w:r>
        <w:t xml:space="preserve">, N. L., </w:t>
      </w:r>
      <w:proofErr w:type="spellStart"/>
      <w:r>
        <w:t>Bostrom</w:t>
      </w:r>
      <w:proofErr w:type="spellEnd"/>
      <w:r>
        <w:t xml:space="preserve">, C. E., &amp; </w:t>
      </w:r>
      <w:proofErr w:type="spellStart"/>
      <w:r>
        <w:t>McGuinness</w:t>
      </w:r>
      <w:proofErr w:type="spellEnd"/>
      <w:r>
        <w:t>, T. M. (2011).</w:t>
      </w:r>
      <w:proofErr w:type="gramEnd"/>
      <w:r>
        <w:t xml:space="preserve"> </w:t>
      </w:r>
      <w:r>
        <w:rPr>
          <w:i/>
        </w:rPr>
        <w:t xml:space="preserve">Psychiatric </w:t>
      </w:r>
      <w:r w:rsidR="001145C9">
        <w:rPr>
          <w:i/>
          <w:color w:val="FF0000"/>
        </w:rPr>
        <w:t>n</w:t>
      </w:r>
      <w:r>
        <w:rPr>
          <w:i/>
        </w:rPr>
        <w:t>ursing</w:t>
      </w:r>
      <w:r>
        <w:t xml:space="preserve"> (6th </w:t>
      </w:r>
      <w:proofErr w:type="gramStart"/>
      <w:r>
        <w:t>ed</w:t>
      </w:r>
      <w:proofErr w:type="gramEnd"/>
      <w:r>
        <w:t>.). St. Louis, MO: Elsevier Mosby.</w:t>
      </w:r>
      <w:bookmarkEnd w:id="32"/>
    </w:p>
    <w:p w:rsidR="009E7326" w:rsidRDefault="009E7326" w:rsidP="009E7326">
      <w:pPr>
        <w:pStyle w:val="APAReference"/>
      </w:pPr>
      <w:bookmarkStart w:id="33" w:name="R411464847337963I0"/>
      <w:proofErr w:type="spellStart"/>
      <w:r>
        <w:t>Mauk</w:t>
      </w:r>
      <w:proofErr w:type="spellEnd"/>
      <w:r>
        <w:t xml:space="preserve">, K. L. (2010). </w:t>
      </w:r>
      <w:proofErr w:type="spellStart"/>
      <w:r>
        <w:rPr>
          <w:i/>
        </w:rPr>
        <w:t>Gerontological</w:t>
      </w:r>
      <w:proofErr w:type="spellEnd"/>
      <w:r>
        <w:rPr>
          <w:i/>
        </w:rPr>
        <w:t xml:space="preserve"> nursing competencies for care</w:t>
      </w:r>
      <w:r>
        <w:t xml:space="preserve"> (2nd </w:t>
      </w:r>
      <w:proofErr w:type="gramStart"/>
      <w:r>
        <w:t>ed</w:t>
      </w:r>
      <w:proofErr w:type="gramEnd"/>
      <w:r>
        <w:t>.). Sudbury, MA: Jones and Bartlett.</w:t>
      </w:r>
      <w:bookmarkStart w:id="34" w:name="_GoBack"/>
      <w:bookmarkEnd w:id="33"/>
      <w:bookmarkEnd w:id="34"/>
    </w:p>
    <w:sectPr w:rsidR="009E7326" w:rsidSect="001E64FE">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9" w:author="Mary" w:date="2012-10-05T14:11:00Z" w:initials="M">
    <w:p w:rsidR="001145C9" w:rsidRDefault="001145C9">
      <w:pPr>
        <w:pStyle w:val="CommentText"/>
      </w:pPr>
      <w:r>
        <w:rPr>
          <w:rStyle w:val="CommentReference"/>
        </w:rPr>
        <w:annotationRef/>
      </w:r>
      <w:r>
        <w:t>9?????</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5F8" w:rsidRDefault="002865F8">
      <w:r>
        <w:separator/>
      </w:r>
    </w:p>
  </w:endnote>
  <w:endnote w:type="continuationSeparator" w:id="0">
    <w:p w:rsidR="002865F8" w:rsidRDefault="002865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5F8" w:rsidRDefault="002865F8">
      <w:r>
        <w:separator/>
      </w:r>
    </w:p>
  </w:footnote>
  <w:footnote w:type="continuationSeparator" w:id="0">
    <w:p w:rsidR="002865F8" w:rsidRDefault="002865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1E64FE" w:rsidRDefault="001E64FE" w:rsidP="001E64FE">
    <w:pPr>
      <w:pStyle w:val="APAPageHeading"/>
    </w:pPr>
    <w:r>
      <w:t>CASE STUDY 4.2 PRESCRIPTION PAIN MEDICATION MISUSE</w:t>
    </w:r>
    <w:r>
      <w:tab/>
    </w:r>
    <w:r w:rsidR="00FF1DB7">
      <w:fldChar w:fldCharType="begin"/>
    </w:r>
    <w:r>
      <w:instrText xml:space="preserve"> PAGE  \* MERGEFORMAT </w:instrText>
    </w:r>
    <w:r w:rsidR="00FF1DB7">
      <w:fldChar w:fldCharType="separate"/>
    </w:r>
    <w:r w:rsidR="001145C9">
      <w:rPr>
        <w:noProof/>
      </w:rPr>
      <w:t>3</w:t>
    </w:r>
    <w:r w:rsidR="00FF1DB7">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1E64FE" w:rsidRDefault="001E64FE" w:rsidP="001E64FE">
    <w:pPr>
      <w:pStyle w:val="APAPageHeading"/>
    </w:pPr>
    <w:r>
      <w:t>Running head: CASE STUDY 4.2 PRESCRIPTION PAIN MEDICATION MISUSE</w:t>
    </w:r>
    <w:r>
      <w:tab/>
    </w:r>
    <w:r w:rsidR="00FF1DB7">
      <w:fldChar w:fldCharType="begin"/>
    </w:r>
    <w:r>
      <w:instrText xml:space="preserve"> PAGE  \* MERGEFORMAT </w:instrText>
    </w:r>
    <w:r w:rsidR="00FF1DB7">
      <w:fldChar w:fldCharType="separate"/>
    </w:r>
    <w:r w:rsidR="001145C9">
      <w:rPr>
        <w:noProof/>
      </w:rPr>
      <w:t>1</w:t>
    </w:r>
    <w:r w:rsidR="00FF1DB7">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4FE" w:rsidRPr="001E64FE" w:rsidRDefault="001E64FE" w:rsidP="001E64FE">
    <w:pPr>
      <w:pStyle w:val="APAPageHeading"/>
    </w:pPr>
    <w:r>
      <w:t>CASE STUDY 4.2 PRESCRIPTION PAIN MEDICATION MISUSE</w:t>
    </w:r>
    <w:r>
      <w:tab/>
    </w:r>
    <w:r w:rsidR="00FF1DB7">
      <w:fldChar w:fldCharType="begin"/>
    </w:r>
    <w:r>
      <w:instrText xml:space="preserve"> PAGE  \* MERGEFORMAT </w:instrText>
    </w:r>
    <w:r w:rsidR="00FF1DB7">
      <w:fldChar w:fldCharType="separate"/>
    </w:r>
    <w:r w:rsidR="001145C9">
      <w:rPr>
        <w:noProof/>
      </w:rPr>
      <w:t>2</w:t>
    </w:r>
    <w:r w:rsidR="00FF1DB7">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47FCC"/>
    <w:multiLevelType w:val="hybridMultilevel"/>
    <w:tmpl w:val="AF30493E"/>
    <w:lvl w:ilvl="0" w:tplc="1B306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docVars>
    <w:docVar w:name="410726541087963I0" w:val="*1,597˜11Norman~L.~Keltner~Carol~E.~Bostrom~Teena~M.~McGuinness~˜12032011˜15Psychiatric Nursing˜2201˜1526th˜21951˜21940˜110St. Louis, MO˜111Elsevier Mosby˜1449˜269˜1196˜1609˜"/>
    <w:docVar w:name="411464847337963I0" w:val="*1,597˜11Kristen~L~Mauk~˜12032010˜15Gerontological nursing competencies for care˜2201˜1522nd˜21951˜21940˜110Sudbury, MA˜111Jones and Bartlett˜1449˜269˜1196˜1609˜"/>
    <w:docVar w:name="411705815856481I0" w:val="*1,597˜11Anne~Collins~Abrams~Sandra~Smith~Pennington~Carol~Barnett~Lammon~˜12032009˜15Clinical drug therapy rationales for nursing practice˜2201˜1529th˜21951˜21940˜110Philadelphia, PA˜111Lippincott Williams &amp; Wilkins˜1449˜269˜1196˜1609˜"/>
    <w:docVar w:name="411706237615741I0" w:val="*1,617˜1200https://www.ilpmp.org/˜2980˜12˜1141https://www.ilpmp.org/˜"/>
    <w:docVar w:name="411706247222222I0" w:val="*1,617˜1200Illinois Prescription Monitoring Program website˜2980˜12˜1141https://www.ilpmp.org/˜"/>
    <w:docVar w:name="bmHeaderInfo" w:val="CASE STUDY 4.2 PRESCRIPTION PAIN MEDICATION MISUSE"/>
    <w:docVar w:name="cIsAbstract" w:val="False"/>
    <w:docVar w:name="cPaperAPAOrMLA" w:val="1"/>
    <w:docVar w:name="cUniquePaperID" w:val="411705052199074I0"/>
    <w:docVar w:name="LastEditedVersion" w:val="5"/>
  </w:docVars>
  <w:rsids>
    <w:rsidRoot w:val="001E64FE"/>
    <w:rsid w:val="000022DA"/>
    <w:rsid w:val="00003776"/>
    <w:rsid w:val="00004A0E"/>
    <w:rsid w:val="0000704A"/>
    <w:rsid w:val="0000750F"/>
    <w:rsid w:val="0000797F"/>
    <w:rsid w:val="000100C0"/>
    <w:rsid w:val="00011136"/>
    <w:rsid w:val="00011189"/>
    <w:rsid w:val="0001296A"/>
    <w:rsid w:val="00013627"/>
    <w:rsid w:val="00015FF1"/>
    <w:rsid w:val="0001685B"/>
    <w:rsid w:val="00017F15"/>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4324"/>
    <w:rsid w:val="000A7474"/>
    <w:rsid w:val="000A7C2C"/>
    <w:rsid w:val="000B0007"/>
    <w:rsid w:val="000B15DC"/>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2363"/>
    <w:rsid w:val="00103036"/>
    <w:rsid w:val="001041BF"/>
    <w:rsid w:val="00105122"/>
    <w:rsid w:val="0010597B"/>
    <w:rsid w:val="00106873"/>
    <w:rsid w:val="00106E14"/>
    <w:rsid w:val="001070AD"/>
    <w:rsid w:val="0011050C"/>
    <w:rsid w:val="00111633"/>
    <w:rsid w:val="001145C9"/>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96E30"/>
    <w:rsid w:val="001A01B8"/>
    <w:rsid w:val="001A22D7"/>
    <w:rsid w:val="001A3F72"/>
    <w:rsid w:val="001A41D4"/>
    <w:rsid w:val="001A41E3"/>
    <w:rsid w:val="001A426B"/>
    <w:rsid w:val="001A48B8"/>
    <w:rsid w:val="001A504B"/>
    <w:rsid w:val="001A51CE"/>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E10AE"/>
    <w:rsid w:val="001E16E1"/>
    <w:rsid w:val="001E1BE4"/>
    <w:rsid w:val="001E1F31"/>
    <w:rsid w:val="001E25C4"/>
    <w:rsid w:val="001E2BB4"/>
    <w:rsid w:val="001E45A4"/>
    <w:rsid w:val="001E5D0C"/>
    <w:rsid w:val="001E64FE"/>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0918"/>
    <w:rsid w:val="00211BF1"/>
    <w:rsid w:val="00212532"/>
    <w:rsid w:val="002133C2"/>
    <w:rsid w:val="00214A4B"/>
    <w:rsid w:val="00215795"/>
    <w:rsid w:val="00215880"/>
    <w:rsid w:val="00216F69"/>
    <w:rsid w:val="00220052"/>
    <w:rsid w:val="002202EF"/>
    <w:rsid w:val="0022347E"/>
    <w:rsid w:val="002252B7"/>
    <w:rsid w:val="0022564A"/>
    <w:rsid w:val="0022727A"/>
    <w:rsid w:val="0023071D"/>
    <w:rsid w:val="00231560"/>
    <w:rsid w:val="002329A1"/>
    <w:rsid w:val="00232A05"/>
    <w:rsid w:val="00232A51"/>
    <w:rsid w:val="00232EB1"/>
    <w:rsid w:val="0023335C"/>
    <w:rsid w:val="00240C83"/>
    <w:rsid w:val="002423B5"/>
    <w:rsid w:val="002437E6"/>
    <w:rsid w:val="00247CA9"/>
    <w:rsid w:val="00251294"/>
    <w:rsid w:val="00252135"/>
    <w:rsid w:val="00254A47"/>
    <w:rsid w:val="00256F08"/>
    <w:rsid w:val="00257D7F"/>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5F8"/>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1CB7"/>
    <w:rsid w:val="002F2990"/>
    <w:rsid w:val="002F42C4"/>
    <w:rsid w:val="002F5801"/>
    <w:rsid w:val="002F7F16"/>
    <w:rsid w:val="003013D8"/>
    <w:rsid w:val="00302829"/>
    <w:rsid w:val="00304072"/>
    <w:rsid w:val="0030408C"/>
    <w:rsid w:val="003047E5"/>
    <w:rsid w:val="00304FA2"/>
    <w:rsid w:val="003108F4"/>
    <w:rsid w:val="003110D6"/>
    <w:rsid w:val="003112B7"/>
    <w:rsid w:val="003147FB"/>
    <w:rsid w:val="00317862"/>
    <w:rsid w:val="00321211"/>
    <w:rsid w:val="003221B8"/>
    <w:rsid w:val="0032398C"/>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3460"/>
    <w:rsid w:val="00385539"/>
    <w:rsid w:val="00385B25"/>
    <w:rsid w:val="00391EED"/>
    <w:rsid w:val="00392812"/>
    <w:rsid w:val="00392F32"/>
    <w:rsid w:val="003934DC"/>
    <w:rsid w:val="00394C30"/>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31605"/>
    <w:rsid w:val="0043255D"/>
    <w:rsid w:val="004327A6"/>
    <w:rsid w:val="00432B5E"/>
    <w:rsid w:val="0043569C"/>
    <w:rsid w:val="00436242"/>
    <w:rsid w:val="00440557"/>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0B2B"/>
    <w:rsid w:val="004A1B0D"/>
    <w:rsid w:val="004A2156"/>
    <w:rsid w:val="004A49BE"/>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67B6"/>
    <w:rsid w:val="00547853"/>
    <w:rsid w:val="00547B54"/>
    <w:rsid w:val="0055040F"/>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2FE1"/>
    <w:rsid w:val="005C3014"/>
    <w:rsid w:val="005C44FE"/>
    <w:rsid w:val="005D12E6"/>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4DF6"/>
    <w:rsid w:val="005F6687"/>
    <w:rsid w:val="005F732A"/>
    <w:rsid w:val="005F7879"/>
    <w:rsid w:val="00600222"/>
    <w:rsid w:val="00600B4A"/>
    <w:rsid w:val="00601283"/>
    <w:rsid w:val="00601679"/>
    <w:rsid w:val="00601E56"/>
    <w:rsid w:val="00604740"/>
    <w:rsid w:val="00611E7C"/>
    <w:rsid w:val="006142E4"/>
    <w:rsid w:val="00614926"/>
    <w:rsid w:val="00616AAA"/>
    <w:rsid w:val="006207E8"/>
    <w:rsid w:val="00620CCA"/>
    <w:rsid w:val="00621191"/>
    <w:rsid w:val="00621A81"/>
    <w:rsid w:val="00622699"/>
    <w:rsid w:val="0062424C"/>
    <w:rsid w:val="00625F35"/>
    <w:rsid w:val="00626481"/>
    <w:rsid w:val="006265CD"/>
    <w:rsid w:val="00627DEC"/>
    <w:rsid w:val="006334F5"/>
    <w:rsid w:val="00637D86"/>
    <w:rsid w:val="00640162"/>
    <w:rsid w:val="00641AA4"/>
    <w:rsid w:val="00642FAE"/>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76FC2"/>
    <w:rsid w:val="0068080D"/>
    <w:rsid w:val="006815B2"/>
    <w:rsid w:val="00681C1C"/>
    <w:rsid w:val="0068251B"/>
    <w:rsid w:val="00682D64"/>
    <w:rsid w:val="00685368"/>
    <w:rsid w:val="006867D0"/>
    <w:rsid w:val="006906E2"/>
    <w:rsid w:val="006939C7"/>
    <w:rsid w:val="00695FA4"/>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0FC2"/>
    <w:rsid w:val="006E1D3F"/>
    <w:rsid w:val="006E24E7"/>
    <w:rsid w:val="006E2BA6"/>
    <w:rsid w:val="006E2F3E"/>
    <w:rsid w:val="006E636D"/>
    <w:rsid w:val="006E6FB3"/>
    <w:rsid w:val="006E702D"/>
    <w:rsid w:val="006E71A1"/>
    <w:rsid w:val="006E750E"/>
    <w:rsid w:val="006E7FFA"/>
    <w:rsid w:val="006F04DE"/>
    <w:rsid w:val="006F332E"/>
    <w:rsid w:val="006F4617"/>
    <w:rsid w:val="006F7A7B"/>
    <w:rsid w:val="00700052"/>
    <w:rsid w:val="007034EF"/>
    <w:rsid w:val="007053B9"/>
    <w:rsid w:val="00705D53"/>
    <w:rsid w:val="00706BDD"/>
    <w:rsid w:val="007102AA"/>
    <w:rsid w:val="00710735"/>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40976"/>
    <w:rsid w:val="00742FE8"/>
    <w:rsid w:val="007439C3"/>
    <w:rsid w:val="00743C78"/>
    <w:rsid w:val="00743D9A"/>
    <w:rsid w:val="0074659C"/>
    <w:rsid w:val="00747066"/>
    <w:rsid w:val="00750033"/>
    <w:rsid w:val="00752C28"/>
    <w:rsid w:val="00754231"/>
    <w:rsid w:val="0075425B"/>
    <w:rsid w:val="007553B0"/>
    <w:rsid w:val="00755957"/>
    <w:rsid w:val="00755A12"/>
    <w:rsid w:val="00755DEC"/>
    <w:rsid w:val="007563CF"/>
    <w:rsid w:val="0075678B"/>
    <w:rsid w:val="0076359E"/>
    <w:rsid w:val="0076418E"/>
    <w:rsid w:val="00764AB6"/>
    <w:rsid w:val="0076653E"/>
    <w:rsid w:val="007672CA"/>
    <w:rsid w:val="00767A93"/>
    <w:rsid w:val="00767BF0"/>
    <w:rsid w:val="007723D5"/>
    <w:rsid w:val="00772629"/>
    <w:rsid w:val="007732D9"/>
    <w:rsid w:val="00776042"/>
    <w:rsid w:val="0077611D"/>
    <w:rsid w:val="00776914"/>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4F8C"/>
    <w:rsid w:val="007B540C"/>
    <w:rsid w:val="007B572C"/>
    <w:rsid w:val="007B5BCE"/>
    <w:rsid w:val="007C04EF"/>
    <w:rsid w:val="007C0B49"/>
    <w:rsid w:val="007C2077"/>
    <w:rsid w:val="007C3630"/>
    <w:rsid w:val="007C3885"/>
    <w:rsid w:val="007C4133"/>
    <w:rsid w:val="007D094A"/>
    <w:rsid w:val="007D132C"/>
    <w:rsid w:val="007D1A99"/>
    <w:rsid w:val="007D353D"/>
    <w:rsid w:val="007D41A7"/>
    <w:rsid w:val="007D4C5C"/>
    <w:rsid w:val="007D5C15"/>
    <w:rsid w:val="007D5EC8"/>
    <w:rsid w:val="007D68AA"/>
    <w:rsid w:val="007E1636"/>
    <w:rsid w:val="007E1CE6"/>
    <w:rsid w:val="007E3372"/>
    <w:rsid w:val="007E341A"/>
    <w:rsid w:val="007E3695"/>
    <w:rsid w:val="007E3892"/>
    <w:rsid w:val="007E49A7"/>
    <w:rsid w:val="007E64CE"/>
    <w:rsid w:val="007F0FE1"/>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3E47"/>
    <w:rsid w:val="008B755F"/>
    <w:rsid w:val="008C1497"/>
    <w:rsid w:val="008C2CBB"/>
    <w:rsid w:val="008C349F"/>
    <w:rsid w:val="008C3828"/>
    <w:rsid w:val="008C4446"/>
    <w:rsid w:val="008C50B2"/>
    <w:rsid w:val="008C5A21"/>
    <w:rsid w:val="008C6A64"/>
    <w:rsid w:val="008D1B3A"/>
    <w:rsid w:val="008D1BBF"/>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25A9"/>
    <w:rsid w:val="00973CE0"/>
    <w:rsid w:val="00975C5A"/>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E7326"/>
    <w:rsid w:val="009F1418"/>
    <w:rsid w:val="009F2A2E"/>
    <w:rsid w:val="009F3763"/>
    <w:rsid w:val="00A0104C"/>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432D"/>
    <w:rsid w:val="00A25311"/>
    <w:rsid w:val="00A2776D"/>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3C65"/>
    <w:rsid w:val="00AA4F0B"/>
    <w:rsid w:val="00AA6658"/>
    <w:rsid w:val="00AA7B87"/>
    <w:rsid w:val="00AB18B9"/>
    <w:rsid w:val="00AB23E2"/>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E3B"/>
    <w:rsid w:val="00B02FE0"/>
    <w:rsid w:val="00B03C75"/>
    <w:rsid w:val="00B03F40"/>
    <w:rsid w:val="00B040BF"/>
    <w:rsid w:val="00B0448B"/>
    <w:rsid w:val="00B05CF0"/>
    <w:rsid w:val="00B125C6"/>
    <w:rsid w:val="00B12800"/>
    <w:rsid w:val="00B12E2F"/>
    <w:rsid w:val="00B135CA"/>
    <w:rsid w:val="00B14AE7"/>
    <w:rsid w:val="00B14BF4"/>
    <w:rsid w:val="00B1562B"/>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563FC"/>
    <w:rsid w:val="00B605F1"/>
    <w:rsid w:val="00B61AC2"/>
    <w:rsid w:val="00B61F5F"/>
    <w:rsid w:val="00B62B4A"/>
    <w:rsid w:val="00B6348B"/>
    <w:rsid w:val="00B63935"/>
    <w:rsid w:val="00B65BBB"/>
    <w:rsid w:val="00B65BDC"/>
    <w:rsid w:val="00B66928"/>
    <w:rsid w:val="00B6697E"/>
    <w:rsid w:val="00B678E2"/>
    <w:rsid w:val="00B70065"/>
    <w:rsid w:val="00B70948"/>
    <w:rsid w:val="00B70ED5"/>
    <w:rsid w:val="00B716F0"/>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3AA8"/>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38A5"/>
    <w:rsid w:val="00C2469C"/>
    <w:rsid w:val="00C2655C"/>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44DA"/>
    <w:rsid w:val="00CD4AE1"/>
    <w:rsid w:val="00CD6EEB"/>
    <w:rsid w:val="00CD7B3B"/>
    <w:rsid w:val="00CE18D7"/>
    <w:rsid w:val="00CE2426"/>
    <w:rsid w:val="00CE4BF9"/>
    <w:rsid w:val="00CE4F60"/>
    <w:rsid w:val="00CE50F9"/>
    <w:rsid w:val="00CE5166"/>
    <w:rsid w:val="00CE64EA"/>
    <w:rsid w:val="00CE6E8A"/>
    <w:rsid w:val="00CE6EB3"/>
    <w:rsid w:val="00CF01A8"/>
    <w:rsid w:val="00CF0F36"/>
    <w:rsid w:val="00CF106B"/>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007"/>
    <w:rsid w:val="00D400F7"/>
    <w:rsid w:val="00D41191"/>
    <w:rsid w:val="00D42360"/>
    <w:rsid w:val="00D43C0D"/>
    <w:rsid w:val="00D44E49"/>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108C"/>
    <w:rsid w:val="00D9195C"/>
    <w:rsid w:val="00D957BA"/>
    <w:rsid w:val="00D967A3"/>
    <w:rsid w:val="00DA1344"/>
    <w:rsid w:val="00DA26BF"/>
    <w:rsid w:val="00DA2C59"/>
    <w:rsid w:val="00DA3BC3"/>
    <w:rsid w:val="00DA49E0"/>
    <w:rsid w:val="00DA5739"/>
    <w:rsid w:val="00DB4050"/>
    <w:rsid w:val="00DB477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07AE8"/>
    <w:rsid w:val="00E11589"/>
    <w:rsid w:val="00E129AC"/>
    <w:rsid w:val="00E14145"/>
    <w:rsid w:val="00E14295"/>
    <w:rsid w:val="00E148D4"/>
    <w:rsid w:val="00E14E11"/>
    <w:rsid w:val="00E162A6"/>
    <w:rsid w:val="00E16D7E"/>
    <w:rsid w:val="00E174D9"/>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69DF"/>
    <w:rsid w:val="00E7022E"/>
    <w:rsid w:val="00E70369"/>
    <w:rsid w:val="00E72360"/>
    <w:rsid w:val="00E723CB"/>
    <w:rsid w:val="00E728D7"/>
    <w:rsid w:val="00E74F64"/>
    <w:rsid w:val="00E75085"/>
    <w:rsid w:val="00E750C0"/>
    <w:rsid w:val="00E761E3"/>
    <w:rsid w:val="00E7641D"/>
    <w:rsid w:val="00E7690C"/>
    <w:rsid w:val="00E77599"/>
    <w:rsid w:val="00E77780"/>
    <w:rsid w:val="00E77813"/>
    <w:rsid w:val="00E8015B"/>
    <w:rsid w:val="00E818A5"/>
    <w:rsid w:val="00E8443A"/>
    <w:rsid w:val="00E8609A"/>
    <w:rsid w:val="00E86957"/>
    <w:rsid w:val="00E90C0F"/>
    <w:rsid w:val="00E91642"/>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B466C"/>
    <w:rsid w:val="00EC008F"/>
    <w:rsid w:val="00EC309C"/>
    <w:rsid w:val="00EC3654"/>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550C"/>
    <w:rsid w:val="00F26055"/>
    <w:rsid w:val="00F26119"/>
    <w:rsid w:val="00F27034"/>
    <w:rsid w:val="00F270C9"/>
    <w:rsid w:val="00F27D75"/>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5DB3"/>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AFF"/>
    <w:rsid w:val="00FF0D27"/>
    <w:rsid w:val="00FF1DB7"/>
    <w:rsid w:val="00FF364B"/>
    <w:rsid w:val="00FF3AB0"/>
    <w:rsid w:val="00FF4145"/>
    <w:rsid w:val="00FF4BF3"/>
    <w:rsid w:val="00FF7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1DB7"/>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1DB7"/>
    <w:pPr>
      <w:tabs>
        <w:tab w:val="center" w:pos="4320"/>
        <w:tab w:val="right" w:pos="8640"/>
      </w:tabs>
    </w:pPr>
  </w:style>
  <w:style w:type="paragraph" w:customStyle="1" w:styleId="APA">
    <w:name w:val="APA"/>
    <w:basedOn w:val="BodyText"/>
    <w:rsid w:val="00FF1DB7"/>
    <w:pPr>
      <w:spacing w:after="0" w:line="480" w:lineRule="auto"/>
      <w:ind w:firstLine="720"/>
    </w:pPr>
    <w:rPr>
      <w:sz w:val="24"/>
    </w:rPr>
  </w:style>
  <w:style w:type="paragraph" w:styleId="BodyText">
    <w:name w:val="Body Text"/>
    <w:basedOn w:val="Normal"/>
    <w:rsid w:val="00FF1DB7"/>
    <w:pPr>
      <w:spacing w:after="120"/>
    </w:pPr>
  </w:style>
  <w:style w:type="paragraph" w:styleId="Footer">
    <w:name w:val="footer"/>
    <w:basedOn w:val="Normal"/>
    <w:rsid w:val="00FF1DB7"/>
    <w:pPr>
      <w:tabs>
        <w:tab w:val="center" w:pos="4320"/>
        <w:tab w:val="right" w:pos="8640"/>
      </w:tabs>
    </w:pPr>
  </w:style>
  <w:style w:type="character" w:styleId="PageNumber">
    <w:name w:val="page number"/>
    <w:basedOn w:val="DefaultParagraphFont"/>
    <w:rsid w:val="00FF1DB7"/>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rsid w:val="00FF1DB7"/>
    <w:pPr>
      <w:ind w:left="720" w:firstLine="0"/>
    </w:pPr>
  </w:style>
  <w:style w:type="paragraph" w:customStyle="1" w:styleId="APABlockQuoteSubsequentPara">
    <w:name w:val="APA Block Quote Subsequent Para"/>
    <w:basedOn w:val="APA"/>
    <w:next w:val="APA"/>
    <w:rsid w:val="00FF1DB7"/>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FF1DB7"/>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FF1DB7"/>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1145C9"/>
    <w:rPr>
      <w:sz w:val="16"/>
      <w:szCs w:val="16"/>
    </w:rPr>
  </w:style>
  <w:style w:type="paragraph" w:styleId="CommentText">
    <w:name w:val="annotation text"/>
    <w:basedOn w:val="Normal"/>
    <w:link w:val="CommentTextChar"/>
    <w:rsid w:val="001145C9"/>
  </w:style>
  <w:style w:type="character" w:customStyle="1" w:styleId="CommentTextChar">
    <w:name w:val="Comment Text Char"/>
    <w:basedOn w:val="DefaultParagraphFont"/>
    <w:link w:val="CommentText"/>
    <w:rsid w:val="001145C9"/>
  </w:style>
  <w:style w:type="paragraph" w:styleId="CommentSubject">
    <w:name w:val="annotation subject"/>
    <w:basedOn w:val="CommentText"/>
    <w:next w:val="CommentText"/>
    <w:link w:val="CommentSubjectChar"/>
    <w:rsid w:val="001145C9"/>
    <w:rPr>
      <w:b/>
      <w:bCs/>
    </w:rPr>
  </w:style>
  <w:style w:type="character" w:customStyle="1" w:styleId="CommentSubjectChar">
    <w:name w:val="Comment Subject Char"/>
    <w:basedOn w:val="CommentTextChar"/>
    <w:link w:val="CommentSubject"/>
    <w:rsid w:val="001145C9"/>
    <w:rPr>
      <w:b/>
      <w:bCs/>
    </w:rPr>
  </w:style>
  <w:style w:type="paragraph" w:styleId="BalloonText">
    <w:name w:val="Balloon Text"/>
    <w:basedOn w:val="Normal"/>
    <w:link w:val="BalloonTextChar"/>
    <w:rsid w:val="001145C9"/>
    <w:rPr>
      <w:rFonts w:ascii="Tahoma" w:hAnsi="Tahoma" w:cs="Tahoma"/>
      <w:sz w:val="16"/>
      <w:szCs w:val="16"/>
    </w:rPr>
  </w:style>
  <w:style w:type="character" w:customStyle="1" w:styleId="BalloonTextChar">
    <w:name w:val="Balloon Text Char"/>
    <w:basedOn w:val="DefaultParagraphFont"/>
    <w:link w:val="BalloonText"/>
    <w:rsid w:val="001145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12</TotalTime>
  <Pages>5</Pages>
  <Words>844</Words>
  <Characters>4813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Case Study 4.2 Prescription Pain Medication Misuse</vt:lpstr>
    </vt:vector>
  </TitlesOfParts>
  <Company>Microsoft</Company>
  <LinksUpToDate>false</LinksUpToDate>
  <CharactersWithSpaces>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4.2 Prescription Pain Medication Misuse</dc:title>
  <dc:subject>Copyright</dc:subject>
  <dc:creator>Paula Ridl</dc:creator>
  <cp:lastModifiedBy>Mary</cp:lastModifiedBy>
  <cp:revision>2</cp:revision>
  <dcterms:created xsi:type="dcterms:W3CDTF">2012-10-05T19:15:00Z</dcterms:created>
  <dcterms:modified xsi:type="dcterms:W3CDTF">2012-10-05T19:15:00Z</dcterms:modified>
</cp:coreProperties>
</file>