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F3B" w:rsidRPr="007247D6" w:rsidRDefault="009E3F3B"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spacing w:line="480" w:lineRule="auto"/>
        <w:ind w:firstLine="720"/>
        <w:jc w:val="center"/>
        <w:rPr>
          <w:rFonts w:ascii="Times New Roman" w:hAnsi="Times New Roman" w:cs="Times New Roman"/>
        </w:rPr>
      </w:pPr>
      <w:r w:rsidRPr="007247D6">
        <w:rPr>
          <w:rFonts w:ascii="Times New Roman" w:hAnsi="Times New Roman" w:cs="Times New Roman"/>
        </w:rPr>
        <w:t>Osteoporosis and Hyperlipidemia</w:t>
      </w:r>
    </w:p>
    <w:p w:rsidR="007247D6" w:rsidRPr="007247D6" w:rsidRDefault="007247D6" w:rsidP="007247D6">
      <w:pPr>
        <w:spacing w:line="480" w:lineRule="auto"/>
        <w:ind w:firstLine="720"/>
        <w:jc w:val="center"/>
        <w:rPr>
          <w:rFonts w:ascii="Times New Roman" w:hAnsi="Times New Roman" w:cs="Times New Roman"/>
        </w:rPr>
      </w:pPr>
      <w:r w:rsidRPr="007247D6">
        <w:rPr>
          <w:rFonts w:ascii="Times New Roman" w:hAnsi="Times New Roman" w:cs="Times New Roman"/>
        </w:rPr>
        <w:t>Cassandra P. Butcher</w:t>
      </w:r>
    </w:p>
    <w:p w:rsidR="007247D6" w:rsidRPr="007247D6" w:rsidRDefault="007247D6" w:rsidP="007247D6">
      <w:pPr>
        <w:spacing w:line="480" w:lineRule="auto"/>
        <w:ind w:firstLine="720"/>
        <w:jc w:val="center"/>
        <w:rPr>
          <w:rFonts w:ascii="Times New Roman" w:hAnsi="Times New Roman" w:cs="Times New Roman"/>
        </w:rPr>
      </w:pPr>
      <w:r w:rsidRPr="007247D6">
        <w:rPr>
          <w:rFonts w:ascii="Times New Roman" w:hAnsi="Times New Roman" w:cs="Times New Roman"/>
        </w:rPr>
        <w:t>Lakeview College of Nursing</w:t>
      </w: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jc w:val="center"/>
        <w:rPr>
          <w:rFonts w:ascii="Times New Roman" w:hAnsi="Times New Roman" w:cs="Times New Roman"/>
        </w:rPr>
      </w:pPr>
    </w:p>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lastRenderedPageBreak/>
        <w:t xml:space="preserve">Osteoporosis and Hyperlipidemia </w:t>
      </w:r>
    </w:p>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Osteoporosis</w:t>
      </w:r>
    </w:p>
    <w:p w:rsidR="007247D6" w:rsidRPr="007247D6" w:rsidRDefault="007247D6" w:rsidP="007247D6">
      <w:pPr>
        <w:pStyle w:val="ListParagraph"/>
        <w:numPr>
          <w:ilvl w:val="0"/>
          <w:numId w:val="1"/>
        </w:numPr>
        <w:spacing w:line="480" w:lineRule="auto"/>
        <w:rPr>
          <w:rFonts w:ascii="Times New Roman" w:hAnsi="Times New Roman" w:cs="Times New Roman"/>
        </w:rPr>
      </w:pPr>
      <w:r w:rsidRPr="007247D6">
        <w:rPr>
          <w:rFonts w:ascii="Times New Roman" w:hAnsi="Times New Roman" w:cs="Times New Roman"/>
        </w:rPr>
        <w:t xml:space="preserve">To prevent osteoporosis, it is recommended to eat a well-balanced diet, consume adequate amounts of calcium and vitamin D, refrain from smoking and alcohol consumption, and get plenty of weight-bearing exercise (Mauk, 2010). </w:t>
      </w:r>
    </w:p>
    <w:p w:rsidR="007247D6" w:rsidRPr="007247D6" w:rsidRDefault="007247D6" w:rsidP="007247D6">
      <w:pPr>
        <w:pStyle w:val="ListParagraph"/>
        <w:numPr>
          <w:ilvl w:val="0"/>
          <w:numId w:val="1"/>
        </w:numPr>
        <w:spacing w:line="480" w:lineRule="auto"/>
        <w:rPr>
          <w:rFonts w:ascii="Times New Roman" w:hAnsi="Times New Roman" w:cs="Times New Roman"/>
        </w:rPr>
      </w:pPr>
      <w:r w:rsidRPr="007247D6">
        <w:rPr>
          <w:rFonts w:ascii="Times New Roman" w:hAnsi="Times New Roman" w:cs="Times New Roman"/>
        </w:rPr>
        <w:t xml:space="preserve">This statement suggests that because they are white or Asian, female, and are thin or have s mall frame, they are at risk for osteoporosis (Mauk, 2010). </w:t>
      </w:r>
    </w:p>
    <w:p w:rsidR="007247D6" w:rsidRPr="007247D6" w:rsidRDefault="007247D6" w:rsidP="007247D6">
      <w:pPr>
        <w:pStyle w:val="ListParagraph"/>
        <w:numPr>
          <w:ilvl w:val="0"/>
          <w:numId w:val="1"/>
        </w:numPr>
        <w:spacing w:line="480" w:lineRule="auto"/>
        <w:rPr>
          <w:rFonts w:ascii="Times New Roman" w:hAnsi="Times New Roman" w:cs="Times New Roman"/>
        </w:rPr>
      </w:pPr>
      <w:r w:rsidRPr="007247D6">
        <w:rPr>
          <w:rFonts w:ascii="Times New Roman" w:hAnsi="Times New Roman" w:cs="Times New Roman"/>
        </w:rPr>
        <w:t xml:space="preserve">DEXA stands for dual-energy x-ray absorptiometry, and is also known as a bone scan. The DEXA machine sends a beam of low dose x-ray with two distinct energy peaks through the bones being examined. One of the peaks is absorbed mainly by the soft tissue, and the other beam is absorbed by bone. The soft tissue amount can be subtracted from the total amount, and what remains is a patient’s bone mineral density. </w:t>
      </w:r>
    </w:p>
    <w:p w:rsidR="007247D6" w:rsidRPr="007247D6" w:rsidRDefault="007247D6" w:rsidP="007247D6">
      <w:pPr>
        <w:pStyle w:val="ListParagraph"/>
        <w:numPr>
          <w:ilvl w:val="0"/>
          <w:numId w:val="1"/>
        </w:numPr>
        <w:spacing w:line="480" w:lineRule="auto"/>
        <w:rPr>
          <w:rFonts w:ascii="Times New Roman" w:hAnsi="Times New Roman" w:cs="Times New Roman"/>
        </w:rPr>
      </w:pPr>
      <w:r w:rsidRPr="007247D6">
        <w:rPr>
          <w:rFonts w:ascii="Times New Roman" w:hAnsi="Times New Roman" w:cs="Times New Roman"/>
        </w:rPr>
        <w:t xml:space="preserve">Due to a hysterectomy, there would be an estrogen deficiency. Therefore, this would increase the risk for osteoporosis and would result in middle-age screening. </w:t>
      </w:r>
    </w:p>
    <w:p w:rsidR="007247D6" w:rsidRPr="007247D6" w:rsidRDefault="00EB3CF7" w:rsidP="007247D6">
      <w:pPr>
        <w:pStyle w:val="ListParagraph"/>
        <w:numPr>
          <w:ilvl w:val="0"/>
          <w:numId w:val="1"/>
        </w:numPr>
        <w:spacing w:line="480" w:lineRule="auto"/>
        <w:rPr>
          <w:rFonts w:ascii="Times New Roman" w:hAnsi="Times New Roman" w:cs="Times New Roman"/>
        </w:rPr>
      </w:pPr>
      <w:r>
        <w:rPr>
          <w:rFonts w:ascii="Times New Roman" w:hAnsi="Times New Roman" w:cs="Times New Roman"/>
        </w:rPr>
        <w:t>(Roth, 2012)</w:t>
      </w:r>
    </w:p>
    <w:tbl>
      <w:tblPr>
        <w:tblStyle w:val="TableGrid"/>
        <w:tblW w:w="8372" w:type="dxa"/>
        <w:tblInd w:w="720" w:type="dxa"/>
        <w:tblLook w:val="04A0" w:firstRow="1" w:lastRow="0" w:firstColumn="1" w:lastColumn="0" w:noHBand="0" w:noVBand="1"/>
      </w:tblPr>
      <w:tblGrid>
        <w:gridCol w:w="2066"/>
        <w:gridCol w:w="1930"/>
        <w:gridCol w:w="2104"/>
        <w:gridCol w:w="2272"/>
      </w:tblGrid>
      <w:tr w:rsidR="007247D6" w:rsidRPr="007247D6" w:rsidTr="007247D6">
        <w:tc>
          <w:tcPr>
            <w:tcW w:w="2066" w:type="dxa"/>
          </w:tcPr>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Drug</w:t>
            </w:r>
          </w:p>
        </w:tc>
        <w:tc>
          <w:tcPr>
            <w:tcW w:w="1930" w:type="dxa"/>
          </w:tcPr>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Category</w:t>
            </w:r>
          </w:p>
        </w:tc>
        <w:tc>
          <w:tcPr>
            <w:tcW w:w="2104" w:type="dxa"/>
          </w:tcPr>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Route/Frequency</w:t>
            </w:r>
          </w:p>
        </w:tc>
        <w:tc>
          <w:tcPr>
            <w:tcW w:w="2272" w:type="dxa"/>
          </w:tcPr>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Action</w:t>
            </w:r>
          </w:p>
        </w:tc>
      </w:tr>
      <w:tr w:rsidR="007247D6" w:rsidRPr="007247D6" w:rsidTr="007247D6">
        <w:tc>
          <w:tcPr>
            <w:tcW w:w="2066" w:type="dxa"/>
          </w:tcPr>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Os-Cal and Vitamin D</w:t>
            </w:r>
          </w:p>
        </w:tc>
        <w:tc>
          <w:tcPr>
            <w:tcW w:w="1930"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Antacid, calcium supplement</w:t>
            </w:r>
          </w:p>
        </w:tc>
        <w:tc>
          <w:tcPr>
            <w:tcW w:w="2104"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PO 1000-1500 mg/day</w:t>
            </w:r>
          </w:p>
        </w:tc>
        <w:tc>
          <w:tcPr>
            <w:tcW w:w="2272"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Neutralizes gastric acidity</w:t>
            </w:r>
          </w:p>
        </w:tc>
      </w:tr>
      <w:tr w:rsidR="007247D6" w:rsidRPr="007247D6" w:rsidTr="007247D6">
        <w:tc>
          <w:tcPr>
            <w:tcW w:w="2066" w:type="dxa"/>
          </w:tcPr>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Zoledronic acid</w:t>
            </w:r>
            <w:r w:rsidRPr="007247D6">
              <w:rPr>
                <w:rFonts w:ascii="Times New Roman" w:hAnsi="Times New Roman" w:cs="Times New Roman"/>
              </w:rPr>
              <w:br/>
              <w:t>Reclast</w:t>
            </w:r>
          </w:p>
        </w:tc>
        <w:tc>
          <w:tcPr>
            <w:tcW w:w="1930"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Bone-resorption inhibitor</w:t>
            </w:r>
          </w:p>
        </w:tc>
        <w:tc>
          <w:tcPr>
            <w:tcW w:w="2104"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IV INF 5mg over at least 15 min, every 12 months</w:t>
            </w:r>
          </w:p>
        </w:tc>
        <w:tc>
          <w:tcPr>
            <w:tcW w:w="2272"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 xml:space="preserve">Potent inhibitor of osteoclastic bone resorption; inhibits osteoclastic activity, inhibits skeletal calcium release caused by stimulating factors released by tumors; may directly block dissolution of hydroxyapatite bone crystals. </w:t>
            </w:r>
          </w:p>
        </w:tc>
      </w:tr>
      <w:tr w:rsidR="007247D6" w:rsidRPr="007247D6" w:rsidTr="007247D6">
        <w:trPr>
          <w:trHeight w:val="260"/>
        </w:trPr>
        <w:tc>
          <w:tcPr>
            <w:tcW w:w="2066" w:type="dxa"/>
          </w:tcPr>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Bisphosphonate</w:t>
            </w:r>
          </w:p>
        </w:tc>
        <w:tc>
          <w:tcPr>
            <w:tcW w:w="1930"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 xml:space="preserve">Selective estrogen receptor modulators </w:t>
            </w:r>
          </w:p>
        </w:tc>
        <w:tc>
          <w:tcPr>
            <w:tcW w:w="2104"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PO 10mg/day or 70 mg/wk</w:t>
            </w:r>
          </w:p>
        </w:tc>
        <w:tc>
          <w:tcPr>
            <w:tcW w:w="2272"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 xml:space="preserve">Calcium channel blockers act by inhibiting calcium ion influx across the cell membrane in cardiac and vascular smooth muscle. </w:t>
            </w:r>
          </w:p>
        </w:tc>
      </w:tr>
      <w:tr w:rsidR="007247D6" w:rsidRPr="007247D6" w:rsidTr="007247D6">
        <w:tc>
          <w:tcPr>
            <w:tcW w:w="2066" w:type="dxa"/>
          </w:tcPr>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Raloxifene</w:t>
            </w:r>
          </w:p>
          <w:p w:rsidR="007247D6" w:rsidRP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Evista</w:t>
            </w:r>
          </w:p>
        </w:tc>
        <w:tc>
          <w:tcPr>
            <w:tcW w:w="1930"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 xml:space="preserve">Bone-resoprtion inhibitor </w:t>
            </w:r>
          </w:p>
        </w:tc>
        <w:tc>
          <w:tcPr>
            <w:tcW w:w="2104"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PO 60 mg/day</w:t>
            </w:r>
          </w:p>
        </w:tc>
        <w:tc>
          <w:tcPr>
            <w:tcW w:w="2272" w:type="dxa"/>
          </w:tcPr>
          <w:p w:rsidR="007247D6" w:rsidRPr="007247D6" w:rsidRDefault="007247D6" w:rsidP="007247D6">
            <w:pPr>
              <w:spacing w:line="480" w:lineRule="auto"/>
              <w:rPr>
                <w:rFonts w:ascii="Times New Roman" w:hAnsi="Times New Roman" w:cs="Times New Roman"/>
              </w:rPr>
            </w:pPr>
            <w:r w:rsidRPr="007247D6">
              <w:rPr>
                <w:rFonts w:ascii="Times New Roman" w:hAnsi="Times New Roman" w:cs="Times New Roman"/>
              </w:rPr>
              <w:t>Tissue-selective estrogen agonist/ antagonist; agonist activity in bone and lipid metabolism; antagonist activity on breast and uterus; reduces resorption of bone and decreases bone turnover.</w:t>
            </w:r>
          </w:p>
        </w:tc>
      </w:tr>
    </w:tbl>
    <w:p w:rsidR="007247D6" w:rsidRDefault="007247D6" w:rsidP="007247D6">
      <w:pPr>
        <w:pStyle w:val="ListParagraph"/>
        <w:numPr>
          <w:ilvl w:val="0"/>
          <w:numId w:val="1"/>
        </w:numPr>
        <w:spacing w:line="480" w:lineRule="auto"/>
        <w:rPr>
          <w:rFonts w:ascii="Times New Roman" w:hAnsi="Times New Roman" w:cs="Times New Roman"/>
        </w:rPr>
      </w:pPr>
    </w:p>
    <w:p w:rsidR="007247D6" w:rsidRPr="007247D6" w:rsidRDefault="007247D6" w:rsidP="007247D6">
      <w:pPr>
        <w:pStyle w:val="ListParagraph"/>
        <w:spacing w:line="480" w:lineRule="auto"/>
        <w:ind w:left="810" w:hanging="90"/>
        <w:rPr>
          <w:rFonts w:ascii="Times New Roman" w:hAnsi="Times New Roman" w:cs="Times New Roman"/>
        </w:rPr>
      </w:pPr>
      <w:r w:rsidRPr="007247D6">
        <w:rPr>
          <w:rFonts w:ascii="Times New Roman" w:hAnsi="Times New Roman" w:cs="Times New Roman"/>
        </w:rPr>
        <w:t>B. Taking this medicine right before bedtime is recommended.</w:t>
      </w:r>
    </w:p>
    <w:p w:rsidR="007247D6" w:rsidRPr="007247D6" w:rsidRDefault="007247D6" w:rsidP="007247D6">
      <w:pPr>
        <w:pStyle w:val="ListParagraph"/>
        <w:numPr>
          <w:ilvl w:val="0"/>
          <w:numId w:val="1"/>
        </w:numPr>
        <w:spacing w:line="480" w:lineRule="auto"/>
        <w:rPr>
          <w:rFonts w:ascii="Times New Roman" w:hAnsi="Times New Roman" w:cs="Times New Roman"/>
        </w:rPr>
      </w:pPr>
      <w:r w:rsidRPr="007247D6">
        <w:rPr>
          <w:rFonts w:ascii="Times New Roman" w:hAnsi="Times New Roman" w:cs="Times New Roman"/>
        </w:rPr>
        <w:t xml:space="preserve">Safety measures that can eliminate potential home hazards resulting in a fall or injury include; remove throw rugs, install handrails on staircases, reduce clutter, remove cords and wires on the floor, and check lighting for adequate illumination at night (Mauk, 2010). </w:t>
      </w:r>
    </w:p>
    <w:p w:rsidR="007247D6" w:rsidRPr="007247D6" w:rsidRDefault="007247D6" w:rsidP="007247D6">
      <w:pPr>
        <w:pStyle w:val="ListParagraph"/>
        <w:numPr>
          <w:ilvl w:val="0"/>
          <w:numId w:val="1"/>
        </w:numPr>
        <w:spacing w:line="480" w:lineRule="auto"/>
        <w:rPr>
          <w:rFonts w:ascii="Times New Roman" w:hAnsi="Times New Roman" w:cs="Times New Roman"/>
        </w:rPr>
      </w:pPr>
      <w:r w:rsidRPr="007247D6">
        <w:rPr>
          <w:rFonts w:ascii="Times New Roman" w:hAnsi="Times New Roman" w:cs="Times New Roman"/>
        </w:rPr>
        <w:t xml:space="preserve">Osteoporosis has been identified as a national public health issue priority because, “over 44 million American including 55% of adults age 50 or over have this disease” (Mauk, 2010, pg. 426). What is even more alarming is that, this disease is a treatable and often preventable disease when detected early. </w:t>
      </w:r>
    </w:p>
    <w:p w:rsidR="007247D6" w:rsidRPr="007247D6" w:rsidRDefault="007247D6" w:rsidP="007247D6">
      <w:pPr>
        <w:pStyle w:val="ListParagraph"/>
        <w:spacing w:line="480" w:lineRule="auto"/>
        <w:jc w:val="center"/>
        <w:rPr>
          <w:rFonts w:ascii="Times New Roman" w:hAnsi="Times New Roman" w:cs="Times New Roman"/>
        </w:rPr>
      </w:pPr>
      <w:r w:rsidRPr="007247D6">
        <w:rPr>
          <w:rFonts w:ascii="Times New Roman" w:hAnsi="Times New Roman" w:cs="Times New Roman"/>
        </w:rPr>
        <w:t>Hyperlipidemia</w:t>
      </w:r>
    </w:p>
    <w:p w:rsidR="007247D6" w:rsidRPr="007247D6" w:rsidRDefault="007247D6" w:rsidP="007247D6">
      <w:pPr>
        <w:pStyle w:val="ListParagraph"/>
        <w:numPr>
          <w:ilvl w:val="0"/>
          <w:numId w:val="2"/>
        </w:numPr>
        <w:spacing w:line="480" w:lineRule="auto"/>
        <w:rPr>
          <w:rFonts w:ascii="Times New Roman" w:hAnsi="Times New Roman" w:cs="Times New Roman"/>
        </w:rPr>
      </w:pPr>
      <w:r w:rsidRPr="007247D6">
        <w:rPr>
          <w:rFonts w:ascii="Times New Roman" w:hAnsi="Times New Roman" w:cs="Times New Roman"/>
        </w:rPr>
        <w:t xml:space="preserve">The admissions nurse should be concerned with Mr. Nightwolf’s diagnosis of coronary artery disease, type II diabetes, and history of angina. The nurse should also note that Mr. Nightwolf is a smoker, has a waist circumference of 40 inches, has a higher blood pressure, is experiencing dyspnea upon exertion and has a very high level of triglycerides and serum glucose level. All of these finding are </w:t>
      </w:r>
      <w:r>
        <w:rPr>
          <w:rFonts w:ascii="Times New Roman" w:hAnsi="Times New Roman" w:cs="Times New Roman"/>
        </w:rPr>
        <w:t>consistent with heart diseases (Mauk, 2010).</w:t>
      </w:r>
    </w:p>
    <w:p w:rsidR="007247D6" w:rsidRPr="007247D6" w:rsidRDefault="007247D6" w:rsidP="007247D6">
      <w:pPr>
        <w:pStyle w:val="ListParagraph"/>
        <w:numPr>
          <w:ilvl w:val="0"/>
          <w:numId w:val="2"/>
        </w:numPr>
        <w:spacing w:line="480" w:lineRule="auto"/>
        <w:rPr>
          <w:rFonts w:ascii="Times New Roman" w:hAnsi="Times New Roman" w:cs="Times New Roman"/>
        </w:rPr>
      </w:pPr>
      <w:r w:rsidRPr="007247D6">
        <w:rPr>
          <w:rFonts w:ascii="Times New Roman" w:hAnsi="Times New Roman" w:cs="Times New Roman"/>
        </w:rPr>
        <w:t xml:space="preserve">According to the Hartford Institute for Geriatric Nursing evidence-based practice guidelines, Mr. Nightwolf’s blood pressure of 142/88mmHG, SOB upon physiological stress and exercise, and strong radial pulses, but weaker dorsalis pedis pulses, could all be due to common age-related changes. </w:t>
      </w:r>
    </w:p>
    <w:p w:rsidR="007247D6" w:rsidRPr="007247D6" w:rsidRDefault="007247D6" w:rsidP="007247D6">
      <w:pPr>
        <w:pStyle w:val="ListParagraph"/>
        <w:numPr>
          <w:ilvl w:val="0"/>
          <w:numId w:val="2"/>
        </w:numPr>
        <w:spacing w:line="480" w:lineRule="auto"/>
        <w:rPr>
          <w:rFonts w:ascii="Times New Roman" w:hAnsi="Times New Roman" w:cs="Times New Roman"/>
        </w:rPr>
      </w:pPr>
      <w:r w:rsidRPr="007247D6">
        <w:rPr>
          <w:rFonts w:ascii="Times New Roman" w:hAnsi="Times New Roman" w:cs="Times New Roman"/>
        </w:rPr>
        <w:t xml:space="preserve">The nurse should expect an ECG to be performed to check for hear rate, rhythm, murmurs, and heart sounds. The nurse should assess BP while he is lying, sitting, and standing, and assess for the pulse pressure. After this, the nurse should palpate the carotid artery and peripheral pulses for symmetry. </w:t>
      </w:r>
    </w:p>
    <w:p w:rsidR="007247D6" w:rsidRPr="007247D6" w:rsidRDefault="007247D6" w:rsidP="007247D6">
      <w:pPr>
        <w:pStyle w:val="ListParagraph"/>
        <w:numPr>
          <w:ilvl w:val="0"/>
          <w:numId w:val="2"/>
        </w:numPr>
        <w:spacing w:line="480" w:lineRule="auto"/>
        <w:rPr>
          <w:rFonts w:ascii="Times New Roman" w:hAnsi="Times New Roman" w:cs="Times New Roman"/>
        </w:rPr>
      </w:pPr>
      <w:r w:rsidRPr="007247D6">
        <w:rPr>
          <w:rFonts w:ascii="Times New Roman" w:hAnsi="Times New Roman" w:cs="Times New Roman"/>
        </w:rPr>
        <w:t xml:space="preserve">Mr. Nightwolf is at greater risk for a cardiovascular event because: death rates for diseases of the heart in American Indians were 170.2 for males, death rates for stroke were 25.8 for American Indian males, CHD death rate for American Indian males was 122.4, and among American-Indian men ages 45-74, the incidence of CVD ranges from 15-28 per 1000 population. </w:t>
      </w:r>
    </w:p>
    <w:p w:rsidR="007247D6" w:rsidRPr="007247D6" w:rsidRDefault="007247D6" w:rsidP="007247D6">
      <w:pPr>
        <w:pStyle w:val="ListParagraph"/>
        <w:numPr>
          <w:ilvl w:val="0"/>
          <w:numId w:val="2"/>
        </w:numPr>
        <w:spacing w:line="480" w:lineRule="auto"/>
        <w:rPr>
          <w:rFonts w:ascii="Times New Roman" w:hAnsi="Times New Roman" w:cs="Times New Roman"/>
        </w:rPr>
      </w:pPr>
      <w:r w:rsidRPr="007247D6">
        <w:rPr>
          <w:rFonts w:ascii="Times New Roman" w:hAnsi="Times New Roman" w:cs="Times New Roman"/>
        </w:rPr>
        <w:t>Steve should suggest to Mr. Nightwolf that he should 1) eat less processed/frozen meals, 2) eat fresh fruits and vegetables, 3) enhance flavor with salt alternatives, 4) choose low, or reduced sodium soups instead, and 5) portion control.</w:t>
      </w:r>
    </w:p>
    <w:p w:rsidR="007247D6" w:rsidRPr="007247D6" w:rsidRDefault="007247D6" w:rsidP="007247D6">
      <w:pPr>
        <w:pStyle w:val="ListParagraph"/>
        <w:numPr>
          <w:ilvl w:val="0"/>
          <w:numId w:val="2"/>
        </w:numPr>
        <w:spacing w:line="480" w:lineRule="auto"/>
        <w:rPr>
          <w:rFonts w:ascii="Times New Roman" w:hAnsi="Times New Roman" w:cs="Times New Roman"/>
        </w:rPr>
      </w:pPr>
      <w:r w:rsidRPr="007247D6">
        <w:rPr>
          <w:rFonts w:ascii="Times New Roman" w:hAnsi="Times New Roman" w:cs="Times New Roman"/>
        </w:rPr>
        <w:t xml:space="preserve">Mr. Nightwolf would greatly benefit from safe exercise. He should start very slow with walking for just a few minutes and then taking a break. He can walk later that day for a few more minutes. Slowly, he can work his way up to 30 minutes a day of walking. Something is always better than nothing! </w:t>
      </w:r>
    </w:p>
    <w:p w:rsidR="007247D6" w:rsidRPr="007247D6" w:rsidRDefault="007247D6" w:rsidP="007247D6">
      <w:pPr>
        <w:pStyle w:val="ListParagraph"/>
        <w:numPr>
          <w:ilvl w:val="0"/>
          <w:numId w:val="2"/>
        </w:numPr>
        <w:spacing w:line="480" w:lineRule="auto"/>
        <w:rPr>
          <w:rFonts w:ascii="Times New Roman" w:hAnsi="Times New Roman" w:cs="Times New Roman"/>
        </w:rPr>
      </w:pPr>
      <w:r w:rsidRPr="007247D6">
        <w:rPr>
          <w:rFonts w:ascii="Times New Roman" w:hAnsi="Times New Roman" w:cs="Times New Roman"/>
        </w:rPr>
        <w:t xml:space="preserve">Steve can see improvements in many of Mr. Nightwolf’s lab tests. His triglycerides, LDL-Cholesterol, hemoglobin A1C, BUN, and Creatinine levels have all been lowered, which in turn has lowered his risk for heart disease. </w:t>
      </w:r>
    </w:p>
    <w:p w:rsidR="007247D6" w:rsidRDefault="007247D6" w:rsidP="007247D6">
      <w:pPr>
        <w:pStyle w:val="ListParagraph"/>
        <w:numPr>
          <w:ilvl w:val="0"/>
          <w:numId w:val="2"/>
        </w:numPr>
        <w:spacing w:line="480" w:lineRule="auto"/>
        <w:rPr>
          <w:rFonts w:ascii="Times New Roman" w:hAnsi="Times New Roman" w:cs="Times New Roman"/>
        </w:rPr>
      </w:pPr>
      <w:r w:rsidRPr="007247D6">
        <w:rPr>
          <w:rFonts w:ascii="Times New Roman" w:hAnsi="Times New Roman" w:cs="Times New Roman"/>
        </w:rPr>
        <w:t>Life’s simple 7 consists of; get active-at least 30 minutes/day will lower risk of heard disease, stroke and diabetes; eat better- eat foods low in saturated and trans fat, cholesterol, sodium, and added sugars, eat foods that are high in whole grain fiber, lean protein, and fruits and vegetables; lose weight- reduces burden on heart, lungs, blood vessels, and skeleton; stop smoking- smokers are at a higher risk of developing cardiovascular disease; control cholesterol- helps arteries remain clear of blockages; manage blood pressure-increased blood pressure is the single most significant risk factor for heart disease; and reduce blood sugar- lowered blood sugar h</w:t>
      </w:r>
      <w:r>
        <w:rPr>
          <w:rFonts w:ascii="Times New Roman" w:hAnsi="Times New Roman" w:cs="Times New Roman"/>
        </w:rPr>
        <w:t xml:space="preserve">elps protect your vital organs (American Heart Association, 2012). </w:t>
      </w: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Default="00EB3CF7" w:rsidP="00EB3CF7">
      <w:pPr>
        <w:spacing w:line="480" w:lineRule="auto"/>
        <w:rPr>
          <w:rFonts w:ascii="Times New Roman" w:hAnsi="Times New Roman" w:cs="Times New Roman"/>
        </w:rPr>
      </w:pPr>
    </w:p>
    <w:p w:rsidR="00EB3CF7" w:rsidRPr="00EB3CF7" w:rsidRDefault="00EB3CF7" w:rsidP="00EB3CF7">
      <w:pPr>
        <w:spacing w:line="480" w:lineRule="auto"/>
        <w:rPr>
          <w:rFonts w:ascii="Times New Roman" w:hAnsi="Times New Roman" w:cs="Times New Roman"/>
        </w:rPr>
      </w:pPr>
      <w:bookmarkStart w:id="0" w:name="_GoBack"/>
      <w:bookmarkEnd w:id="0"/>
    </w:p>
    <w:p w:rsidR="007247D6" w:rsidRPr="007247D6" w:rsidRDefault="007247D6" w:rsidP="007247D6">
      <w:pPr>
        <w:pStyle w:val="ListParagraph"/>
        <w:jc w:val="center"/>
        <w:rPr>
          <w:rFonts w:ascii="Times New Roman" w:hAnsi="Times New Roman" w:cs="Times New Roman"/>
        </w:rPr>
      </w:pPr>
    </w:p>
    <w:p w:rsidR="007247D6" w:rsidRDefault="007247D6" w:rsidP="007247D6">
      <w:pPr>
        <w:spacing w:line="480" w:lineRule="auto"/>
        <w:jc w:val="center"/>
        <w:rPr>
          <w:rFonts w:ascii="Times New Roman" w:hAnsi="Times New Roman" w:cs="Times New Roman"/>
        </w:rPr>
      </w:pPr>
      <w:r w:rsidRPr="007247D6">
        <w:rPr>
          <w:rFonts w:ascii="Times New Roman" w:hAnsi="Times New Roman" w:cs="Times New Roman"/>
        </w:rPr>
        <w:t>References</w:t>
      </w:r>
    </w:p>
    <w:p w:rsidR="007247D6" w:rsidRDefault="007247D6" w:rsidP="00EB3CF7">
      <w:pPr>
        <w:spacing w:line="480" w:lineRule="auto"/>
        <w:ind w:left="720" w:hanging="720"/>
        <w:rPr>
          <w:rFonts w:ascii="Times New Roman" w:hAnsi="Times New Roman" w:cs="Times New Roman"/>
        </w:rPr>
      </w:pPr>
      <w:r>
        <w:rPr>
          <w:rFonts w:ascii="Times New Roman" w:hAnsi="Times New Roman" w:cs="Times New Roman"/>
        </w:rPr>
        <w:t xml:space="preserve">American Heart Association. (2012). </w:t>
      </w:r>
      <w:r>
        <w:rPr>
          <w:rFonts w:ascii="Times New Roman" w:hAnsi="Times New Roman" w:cs="Times New Roman"/>
          <w:i/>
        </w:rPr>
        <w:t xml:space="preserve">The simple 7. </w:t>
      </w:r>
      <w:r>
        <w:rPr>
          <w:rFonts w:ascii="Times New Roman" w:hAnsi="Times New Roman" w:cs="Times New Roman"/>
        </w:rPr>
        <w:t xml:space="preserve">The American Heart Association. Retrieved from: </w:t>
      </w:r>
      <w:hyperlink r:id="rId8" w:history="1">
        <w:r w:rsidR="00EB3CF7" w:rsidRPr="00590B6B">
          <w:rPr>
            <w:rStyle w:val="Hyperlink"/>
            <w:rFonts w:ascii="Times New Roman" w:hAnsi="Times New Roman" w:cs="Times New Roman"/>
          </w:rPr>
          <w:t>http://mylifecheck.heart.org/Multitab.aspx?NavID=3&amp;CultureCode=en-US</w:t>
        </w:r>
      </w:hyperlink>
      <w:r w:rsidR="00EB3CF7">
        <w:rPr>
          <w:rFonts w:ascii="Times New Roman" w:hAnsi="Times New Roman" w:cs="Times New Roman"/>
        </w:rPr>
        <w:t xml:space="preserve"> </w:t>
      </w:r>
    </w:p>
    <w:p w:rsidR="00EB3CF7" w:rsidRDefault="00EB3CF7" w:rsidP="00EB3CF7">
      <w:pPr>
        <w:spacing w:line="480" w:lineRule="auto"/>
        <w:ind w:left="720" w:hanging="720"/>
        <w:rPr>
          <w:rFonts w:ascii="Times New Roman" w:hAnsi="Times New Roman" w:cs="Times New Roman"/>
        </w:rPr>
      </w:pPr>
      <w:r w:rsidRPr="00EB3CF7">
        <w:rPr>
          <w:rFonts w:ascii="Times New Roman" w:hAnsi="Times New Roman" w:cs="Times New Roman"/>
          <w:i/>
        </w:rPr>
        <w:t>American Indians/Alaska natives and cardiovascular diseases- Statistics.</w:t>
      </w:r>
      <w:r>
        <w:rPr>
          <w:rFonts w:ascii="Times New Roman" w:hAnsi="Times New Roman" w:cs="Times New Roman"/>
        </w:rPr>
        <w:t xml:space="preserve"> (2010). American Hear Association. Retrieved from </w:t>
      </w:r>
      <w:hyperlink r:id="rId9" w:history="1">
        <w:r w:rsidRPr="00590B6B">
          <w:rPr>
            <w:rStyle w:val="Hyperlink"/>
            <w:rFonts w:ascii="Times New Roman" w:hAnsi="Times New Roman" w:cs="Times New Roman"/>
          </w:rPr>
          <w:t>http://www.americanheart.org/presenter.jhtml?identifier=3000929</w:t>
        </w:r>
      </w:hyperlink>
      <w:r>
        <w:rPr>
          <w:rFonts w:ascii="Times New Roman" w:hAnsi="Times New Roman" w:cs="Times New Roman"/>
        </w:rPr>
        <w:t xml:space="preserve"> </w:t>
      </w:r>
    </w:p>
    <w:p w:rsidR="00EB3CF7" w:rsidRPr="00EB3CF7" w:rsidRDefault="00EB3CF7" w:rsidP="00EB3CF7">
      <w:pPr>
        <w:spacing w:line="480" w:lineRule="auto"/>
        <w:ind w:left="720" w:hanging="720"/>
        <w:rPr>
          <w:rFonts w:ascii="Times New Roman" w:hAnsi="Times New Roman" w:cs="Times New Roman"/>
        </w:rPr>
      </w:pPr>
      <w:r>
        <w:rPr>
          <w:rFonts w:ascii="Times New Roman" w:hAnsi="Times New Roman" w:cs="Times New Roman"/>
        </w:rPr>
        <w:t>Fredrick Memorial. (2010).</w:t>
      </w:r>
      <w:r>
        <w:rPr>
          <w:rFonts w:ascii="Times New Roman" w:hAnsi="Times New Roman" w:cs="Times New Roman"/>
          <w:i/>
        </w:rPr>
        <w:t xml:space="preserve"> </w:t>
      </w:r>
      <w:r w:rsidRPr="00EB3CF7">
        <w:rPr>
          <w:rFonts w:ascii="Times New Roman" w:hAnsi="Times New Roman" w:cs="Times New Roman"/>
          <w:i/>
        </w:rPr>
        <w:t>Dual-energy x-ray absorptiometry.</w:t>
      </w:r>
      <w:r>
        <w:rPr>
          <w:rFonts w:ascii="Times New Roman" w:hAnsi="Times New Roman" w:cs="Times New Roman"/>
          <w:i/>
        </w:rPr>
        <w:t xml:space="preserve"> </w:t>
      </w:r>
      <w:r>
        <w:rPr>
          <w:rFonts w:ascii="Times New Roman" w:hAnsi="Times New Roman" w:cs="Times New Roman"/>
        </w:rPr>
        <w:t xml:space="preserve">Retrieved from: </w:t>
      </w:r>
      <w:hyperlink r:id="rId10" w:history="1">
        <w:r w:rsidRPr="00590B6B">
          <w:rPr>
            <w:rStyle w:val="Hyperlink"/>
            <w:rFonts w:ascii="Times New Roman" w:hAnsi="Times New Roman" w:cs="Times New Roman"/>
          </w:rPr>
          <w:t>http://www.youtube.com/watch?v=vOYdMCBL-g4</w:t>
        </w:r>
      </w:hyperlink>
      <w:r>
        <w:rPr>
          <w:rFonts w:ascii="Times New Roman" w:hAnsi="Times New Roman" w:cs="Times New Roman"/>
        </w:rPr>
        <w:t xml:space="preserve"> </w:t>
      </w:r>
    </w:p>
    <w:p w:rsidR="007247D6" w:rsidRPr="007247D6" w:rsidRDefault="007247D6" w:rsidP="007247D6">
      <w:pPr>
        <w:widowControl w:val="0"/>
        <w:autoSpaceDE w:val="0"/>
        <w:autoSpaceDN w:val="0"/>
        <w:adjustRightInd w:val="0"/>
        <w:spacing w:after="140" w:line="480" w:lineRule="auto"/>
        <w:ind w:left="720" w:hanging="720"/>
        <w:rPr>
          <w:rFonts w:ascii="Times New Roman" w:hAnsi="Times New Roman" w:cs="Times New Roman"/>
        </w:rPr>
      </w:pPr>
      <w:r w:rsidRPr="007247D6">
        <w:rPr>
          <w:rFonts w:ascii="Times New Roman" w:hAnsi="Times New Roman" w:cs="Times New Roman"/>
        </w:rPr>
        <w:t xml:space="preserve">Mauk, K. L. (2010). </w:t>
      </w:r>
      <w:r w:rsidRPr="007247D6">
        <w:rPr>
          <w:rFonts w:ascii="Times New Roman" w:hAnsi="Times New Roman" w:cs="Times New Roman"/>
          <w:i/>
          <w:iCs/>
        </w:rPr>
        <w:t xml:space="preserve">Gerontological nursing: Competencies for care </w:t>
      </w:r>
      <w:r w:rsidRPr="007247D6">
        <w:rPr>
          <w:rFonts w:ascii="Times New Roman" w:hAnsi="Times New Roman" w:cs="Times New Roman"/>
        </w:rPr>
        <w:t>(2nd ed., pp. 16-21). Sudbury, MA: Jones and Bartlett. </w:t>
      </w:r>
    </w:p>
    <w:p w:rsidR="007247D6" w:rsidRPr="007247D6" w:rsidRDefault="007247D6" w:rsidP="007247D6">
      <w:pPr>
        <w:spacing w:line="480" w:lineRule="auto"/>
        <w:ind w:left="720" w:hanging="720"/>
        <w:rPr>
          <w:rFonts w:ascii="Times New Roman" w:hAnsi="Times New Roman" w:cs="Times New Roman"/>
        </w:rPr>
      </w:pPr>
      <w:r w:rsidRPr="007247D6">
        <w:rPr>
          <w:rFonts w:ascii="Times New Roman" w:hAnsi="Times New Roman" w:cs="Times New Roman"/>
        </w:rPr>
        <w:t xml:space="preserve">Roth, L. (2012). </w:t>
      </w:r>
      <w:r w:rsidRPr="007247D6">
        <w:rPr>
          <w:rFonts w:ascii="Times New Roman" w:hAnsi="Times New Roman" w:cs="Times New Roman"/>
          <w:i/>
        </w:rPr>
        <w:t xml:space="preserve">Mosby’s 2012 nursing drug reference </w:t>
      </w:r>
      <w:r w:rsidRPr="007247D6">
        <w:rPr>
          <w:rFonts w:ascii="Times New Roman" w:hAnsi="Times New Roman" w:cs="Times New Roman"/>
        </w:rPr>
        <w:t>(25</w:t>
      </w:r>
      <w:r w:rsidRPr="007247D6">
        <w:rPr>
          <w:rFonts w:ascii="Times New Roman" w:hAnsi="Times New Roman" w:cs="Times New Roman"/>
          <w:vertAlign w:val="superscript"/>
        </w:rPr>
        <w:t>th</w:t>
      </w:r>
      <w:r w:rsidRPr="007247D6">
        <w:rPr>
          <w:rFonts w:ascii="Times New Roman" w:hAnsi="Times New Roman" w:cs="Times New Roman"/>
        </w:rPr>
        <w:t xml:space="preserve"> ed.). St. Louis, Missouri: Elsevier/Mosby.</w:t>
      </w:r>
    </w:p>
    <w:p w:rsidR="007247D6" w:rsidRDefault="007247D6" w:rsidP="007247D6">
      <w:pPr>
        <w:pStyle w:val="ListParagraph"/>
        <w:jc w:val="center"/>
      </w:pPr>
    </w:p>
    <w:p w:rsidR="007247D6" w:rsidRDefault="007247D6" w:rsidP="007247D6"/>
    <w:sectPr w:rsidR="007247D6" w:rsidSect="007247D6">
      <w:headerReference w:type="default" r:id="rId11"/>
      <w:head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7D6" w:rsidRDefault="007247D6" w:rsidP="007247D6">
      <w:r>
        <w:separator/>
      </w:r>
    </w:p>
  </w:endnote>
  <w:endnote w:type="continuationSeparator" w:id="0">
    <w:p w:rsidR="007247D6" w:rsidRDefault="007247D6" w:rsidP="0072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7D6" w:rsidRDefault="007247D6" w:rsidP="007247D6">
      <w:r>
        <w:separator/>
      </w:r>
    </w:p>
  </w:footnote>
  <w:footnote w:type="continuationSeparator" w:id="0">
    <w:p w:rsidR="007247D6" w:rsidRDefault="007247D6" w:rsidP="007247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7D6" w:rsidRDefault="007247D6">
    <w:pPr>
      <w:pStyle w:val="Header"/>
    </w:pPr>
    <w:r>
      <w:t xml:space="preserve">OSTEOPOROSIS AND HYPERLIPIDEMIA </w:t>
    </w:r>
    <w:r>
      <w:tab/>
    </w:r>
    <w:r>
      <w:tab/>
    </w:r>
    <w:r>
      <w:rPr>
        <w:rStyle w:val="PageNumber"/>
      </w:rPr>
      <w:fldChar w:fldCharType="begin"/>
    </w:r>
    <w:r>
      <w:rPr>
        <w:rStyle w:val="PageNumber"/>
      </w:rPr>
      <w:instrText xml:space="preserve"> PAGE </w:instrText>
    </w:r>
    <w:r>
      <w:rPr>
        <w:rStyle w:val="PageNumber"/>
      </w:rPr>
      <w:fldChar w:fldCharType="separate"/>
    </w:r>
    <w:r w:rsidR="00EB3CF7">
      <w:rPr>
        <w:rStyle w:val="PageNumber"/>
        <w:noProof/>
      </w:rPr>
      <w:t>2</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7D6" w:rsidRDefault="007247D6">
    <w:pPr>
      <w:pStyle w:val="Header"/>
    </w:pPr>
    <w:r>
      <w:t xml:space="preserve">Running head: OSTEOPOROSIS AND HYPERLIPIDEMIA </w:t>
    </w:r>
    <w:r>
      <w:tab/>
    </w:r>
    <w:r>
      <w:rPr>
        <w:rStyle w:val="PageNumber"/>
      </w:rPr>
      <w:fldChar w:fldCharType="begin"/>
    </w:r>
    <w:r>
      <w:rPr>
        <w:rStyle w:val="PageNumber"/>
      </w:rPr>
      <w:instrText xml:space="preserve"> PAGE </w:instrText>
    </w:r>
    <w:r>
      <w:rPr>
        <w:rStyle w:val="PageNumber"/>
      </w:rPr>
      <w:fldChar w:fldCharType="separate"/>
    </w:r>
    <w:r w:rsidR="00EB3CF7">
      <w:rPr>
        <w:rStyle w:val="PageNumber"/>
        <w:noProof/>
      </w:rPr>
      <w:t>1</w:t>
    </w:r>
    <w:r>
      <w:rPr>
        <w:rStyle w:val="PageNumber"/>
      </w:rPr>
      <w:fldChar w:fldCharType="end"/>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E631F"/>
    <w:multiLevelType w:val="hybridMultilevel"/>
    <w:tmpl w:val="549EAD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3332B0"/>
    <w:multiLevelType w:val="multilevel"/>
    <w:tmpl w:val="549EAD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E3F55FB"/>
    <w:multiLevelType w:val="hybridMultilevel"/>
    <w:tmpl w:val="155CD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D6"/>
    <w:rsid w:val="007247D6"/>
    <w:rsid w:val="009E3F3B"/>
    <w:rsid w:val="00EB3C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0F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7D6"/>
    <w:pPr>
      <w:tabs>
        <w:tab w:val="center" w:pos="4320"/>
        <w:tab w:val="right" w:pos="8640"/>
      </w:tabs>
    </w:pPr>
  </w:style>
  <w:style w:type="character" w:customStyle="1" w:styleId="HeaderChar">
    <w:name w:val="Header Char"/>
    <w:basedOn w:val="DefaultParagraphFont"/>
    <w:link w:val="Header"/>
    <w:uiPriority w:val="99"/>
    <w:rsid w:val="007247D6"/>
  </w:style>
  <w:style w:type="paragraph" w:styleId="Footer">
    <w:name w:val="footer"/>
    <w:basedOn w:val="Normal"/>
    <w:link w:val="FooterChar"/>
    <w:uiPriority w:val="99"/>
    <w:unhideWhenUsed/>
    <w:rsid w:val="007247D6"/>
    <w:pPr>
      <w:tabs>
        <w:tab w:val="center" w:pos="4320"/>
        <w:tab w:val="right" w:pos="8640"/>
      </w:tabs>
    </w:pPr>
  </w:style>
  <w:style w:type="character" w:customStyle="1" w:styleId="FooterChar">
    <w:name w:val="Footer Char"/>
    <w:basedOn w:val="DefaultParagraphFont"/>
    <w:link w:val="Footer"/>
    <w:uiPriority w:val="99"/>
    <w:rsid w:val="007247D6"/>
  </w:style>
  <w:style w:type="character" w:styleId="PageNumber">
    <w:name w:val="page number"/>
    <w:basedOn w:val="DefaultParagraphFont"/>
    <w:uiPriority w:val="99"/>
    <w:semiHidden/>
    <w:unhideWhenUsed/>
    <w:rsid w:val="007247D6"/>
  </w:style>
  <w:style w:type="paragraph" w:styleId="ListParagraph">
    <w:name w:val="List Paragraph"/>
    <w:basedOn w:val="Normal"/>
    <w:uiPriority w:val="34"/>
    <w:qFormat/>
    <w:rsid w:val="007247D6"/>
    <w:pPr>
      <w:ind w:left="720"/>
      <w:contextualSpacing/>
    </w:pPr>
  </w:style>
  <w:style w:type="table" w:styleId="TableGrid">
    <w:name w:val="Table Grid"/>
    <w:basedOn w:val="TableNormal"/>
    <w:uiPriority w:val="59"/>
    <w:rsid w:val="0072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3C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7D6"/>
    <w:pPr>
      <w:tabs>
        <w:tab w:val="center" w:pos="4320"/>
        <w:tab w:val="right" w:pos="8640"/>
      </w:tabs>
    </w:pPr>
  </w:style>
  <w:style w:type="character" w:customStyle="1" w:styleId="HeaderChar">
    <w:name w:val="Header Char"/>
    <w:basedOn w:val="DefaultParagraphFont"/>
    <w:link w:val="Header"/>
    <w:uiPriority w:val="99"/>
    <w:rsid w:val="007247D6"/>
  </w:style>
  <w:style w:type="paragraph" w:styleId="Footer">
    <w:name w:val="footer"/>
    <w:basedOn w:val="Normal"/>
    <w:link w:val="FooterChar"/>
    <w:uiPriority w:val="99"/>
    <w:unhideWhenUsed/>
    <w:rsid w:val="007247D6"/>
    <w:pPr>
      <w:tabs>
        <w:tab w:val="center" w:pos="4320"/>
        <w:tab w:val="right" w:pos="8640"/>
      </w:tabs>
    </w:pPr>
  </w:style>
  <w:style w:type="character" w:customStyle="1" w:styleId="FooterChar">
    <w:name w:val="Footer Char"/>
    <w:basedOn w:val="DefaultParagraphFont"/>
    <w:link w:val="Footer"/>
    <w:uiPriority w:val="99"/>
    <w:rsid w:val="007247D6"/>
  </w:style>
  <w:style w:type="character" w:styleId="PageNumber">
    <w:name w:val="page number"/>
    <w:basedOn w:val="DefaultParagraphFont"/>
    <w:uiPriority w:val="99"/>
    <w:semiHidden/>
    <w:unhideWhenUsed/>
    <w:rsid w:val="007247D6"/>
  </w:style>
  <w:style w:type="paragraph" w:styleId="ListParagraph">
    <w:name w:val="List Paragraph"/>
    <w:basedOn w:val="Normal"/>
    <w:uiPriority w:val="34"/>
    <w:qFormat/>
    <w:rsid w:val="007247D6"/>
    <w:pPr>
      <w:ind w:left="720"/>
      <w:contextualSpacing/>
    </w:pPr>
  </w:style>
  <w:style w:type="table" w:styleId="TableGrid">
    <w:name w:val="Table Grid"/>
    <w:basedOn w:val="TableNormal"/>
    <w:uiPriority w:val="59"/>
    <w:rsid w:val="0072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3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ylifecheck.heart.org/Multitab.aspx?NavID=3&amp;CultureCode=en-US" TargetMode="External"/><Relationship Id="rId9" Type="http://schemas.openxmlformats.org/officeDocument/2006/relationships/hyperlink" Target="http://www.americanheart.org/presenter.jhtml?identifier=3000929" TargetMode="External"/><Relationship Id="rId10" Type="http://schemas.openxmlformats.org/officeDocument/2006/relationships/hyperlink" Target="http://www.youtube.com/watch?v=vOYdMCBL-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981</Words>
  <Characters>5592</Characters>
  <Application>Microsoft Macintosh Word</Application>
  <DocSecurity>0</DocSecurity>
  <Lines>46</Lines>
  <Paragraphs>13</Paragraphs>
  <ScaleCrop>false</ScaleCrop>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Butcher</dc:creator>
  <cp:keywords/>
  <dc:description/>
  <cp:lastModifiedBy>Cassie Butcher</cp:lastModifiedBy>
  <cp:revision>1</cp:revision>
  <dcterms:created xsi:type="dcterms:W3CDTF">2012-03-05T05:15:00Z</dcterms:created>
  <dcterms:modified xsi:type="dcterms:W3CDTF">2012-03-05T05:39:00Z</dcterms:modified>
</cp:coreProperties>
</file>