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7F" w:rsidRDefault="00D86102" w:rsidP="0094747F">
      <w:r>
        <w:t xml:space="preserve">When a patient can no longer make a decision for </w:t>
      </w:r>
      <w:r w:rsidR="00560C7C">
        <w:t xml:space="preserve">themselves a surrogate decision maker is </w:t>
      </w:r>
      <w:r w:rsidR="00C2634E">
        <w:t xml:space="preserve">used or a </w:t>
      </w:r>
      <w:r w:rsidR="00C2634E" w:rsidRPr="00C2634E">
        <w:rPr>
          <w:b/>
          <w:highlight w:val="yellow"/>
        </w:rPr>
        <w:t>Proxy</w:t>
      </w:r>
      <w:r w:rsidR="00C2634E" w:rsidRPr="00C2634E">
        <w:rPr>
          <w:b/>
        </w:rPr>
        <w:t xml:space="preserve"> </w:t>
      </w:r>
      <w:r w:rsidR="00C2634E">
        <w:rPr>
          <w:b/>
        </w:rPr>
        <w:t xml:space="preserve">who </w:t>
      </w:r>
      <w:r w:rsidR="00C2634E" w:rsidRPr="00C2634E">
        <w:rPr>
          <w:b/>
        </w:rPr>
        <w:t xml:space="preserve">is an individual who acts on behalf of a patient and either </w:t>
      </w:r>
      <w:r w:rsidR="00C2634E">
        <w:rPr>
          <w:b/>
        </w:rPr>
        <w:t>is</w:t>
      </w:r>
      <w:r w:rsidR="00C2634E" w:rsidRPr="00C2634E">
        <w:rPr>
          <w:b/>
        </w:rPr>
        <w:t xml:space="preserve"> chosen be the patient, such as a family member or someone who is court appointed (Butts</w:t>
      </w:r>
      <w:r w:rsidR="00C2634E">
        <w:rPr>
          <w:b/>
        </w:rPr>
        <w:t xml:space="preserve"> </w:t>
      </w:r>
      <w:r w:rsidR="00C2634E" w:rsidRPr="00C2634E">
        <w:rPr>
          <w:b/>
        </w:rPr>
        <w:t>&amp;</w:t>
      </w:r>
      <w:r w:rsidR="00C2634E">
        <w:rPr>
          <w:b/>
        </w:rPr>
        <w:t xml:space="preserve"> </w:t>
      </w:r>
      <w:r w:rsidR="00C2634E" w:rsidRPr="00C2634E">
        <w:rPr>
          <w:b/>
        </w:rPr>
        <w:t>Rich, 2008, pg. 461)</w:t>
      </w:r>
      <w:r w:rsidR="00C2634E">
        <w:t xml:space="preserve"> .</w:t>
      </w:r>
      <w:r w:rsidR="00560C7C">
        <w:t xml:space="preserve">In the Schiavo case the decision maker for her was her </w:t>
      </w:r>
      <w:r w:rsidR="00C2634E">
        <w:t xml:space="preserve">husband. </w:t>
      </w:r>
      <w:r w:rsidR="00560C7C">
        <w:t xml:space="preserve">According to </w:t>
      </w:r>
      <w:r w:rsidR="00C2634E">
        <w:t xml:space="preserve">Beauchamp and Childress in an ideal situation for a patient to be autonomous decision maker, but when autonomy is no longer possible, decision making falls to a proxy (Beauchamp &amp; Childress, 2001). </w:t>
      </w:r>
      <w:r w:rsidR="002D33C5" w:rsidRPr="002D33C5">
        <w:t xml:space="preserve">Decisions about treatment options and motives for decisions may be complex and as in the Schiavo case can tear a family apart. Before the proxy makes any decisions, there needs to be appropriate dialogue among the physicians, the nurses, and the proxy (Emanuel, Danis, Pearlman, Singer, 1995). </w:t>
      </w:r>
      <w:r w:rsidR="00560C7C">
        <w:t xml:space="preserve"> </w:t>
      </w:r>
    </w:p>
    <w:p w:rsidR="0094747F" w:rsidRPr="008B647B" w:rsidRDefault="00C2634E" w:rsidP="0094747F">
      <w:pPr>
        <w:rPr>
          <w:u w:val="single"/>
        </w:rPr>
      </w:pPr>
      <w:r w:rsidRPr="008B647B">
        <w:rPr>
          <w:u w:val="single"/>
        </w:rPr>
        <w:t>Autonomy</w:t>
      </w:r>
    </w:p>
    <w:p w:rsidR="0094747F" w:rsidRPr="002D33C5" w:rsidRDefault="00C2634E" w:rsidP="0094747F">
      <w:r w:rsidRPr="002D33C5">
        <w:rPr>
          <w:b/>
          <w:highlight w:val="yellow"/>
        </w:rPr>
        <w:t>Autonomy</w:t>
      </w:r>
      <w:r w:rsidRPr="002D33C5">
        <w:rPr>
          <w:b/>
        </w:rPr>
        <w:t xml:space="preserve"> is the freedom and ability to act in a self-determined </w:t>
      </w:r>
      <w:r w:rsidR="002D33C5">
        <w:rPr>
          <w:b/>
        </w:rPr>
        <w:t>manner and</w:t>
      </w:r>
      <w:r w:rsidRPr="002D33C5">
        <w:rPr>
          <w:b/>
        </w:rPr>
        <w:t xml:space="preserve"> </w:t>
      </w:r>
      <w:r w:rsidR="002D33C5" w:rsidRPr="002D33C5">
        <w:rPr>
          <w:b/>
        </w:rPr>
        <w:t>it</w:t>
      </w:r>
      <w:r w:rsidRPr="002D33C5">
        <w:rPr>
          <w:b/>
        </w:rPr>
        <w:t xml:space="preserve"> denotes the right of a rational person to generate personal decision independent of outside interference. </w:t>
      </w:r>
      <w:r w:rsidR="002D33C5">
        <w:t xml:space="preserve">Autonomy is based on a decision that was made any an autonomous patient but the ethical dilemma that followed the Schiavo case was who was making the decisions. </w:t>
      </w:r>
      <w:r w:rsidR="00A22B62">
        <w:t xml:space="preserve"> According to the author Veatch in this particular case, the decision is upheld most of the time based on </w:t>
      </w:r>
      <w:r w:rsidR="00A22B62" w:rsidRPr="00A22B62">
        <w:rPr>
          <w:b/>
          <w:highlight w:val="yellow"/>
        </w:rPr>
        <w:t xml:space="preserve">the principle of autonomy </w:t>
      </w:r>
      <w:r w:rsidR="00A22B62" w:rsidRPr="00835E94">
        <w:rPr>
          <w:b/>
          <w:highlight w:val="yellow"/>
        </w:rPr>
        <w:t>extended</w:t>
      </w:r>
      <w:r w:rsidR="00835E94">
        <w:rPr>
          <w:b/>
          <w:highlight w:val="yellow"/>
        </w:rPr>
        <w:t xml:space="preserve"> </w:t>
      </w:r>
      <w:r w:rsidR="00835E94" w:rsidRPr="00835E94">
        <w:rPr>
          <w:b/>
          <w:highlight w:val="yellow"/>
        </w:rPr>
        <w:t>or best interest standard</w:t>
      </w:r>
      <w:r w:rsidR="00835E94">
        <w:rPr>
          <w:b/>
        </w:rPr>
        <w:t xml:space="preserve"> </w:t>
      </w:r>
      <w:r w:rsidR="00A22B62">
        <w:t>which is defined as</w:t>
      </w:r>
      <w:r w:rsidR="00835E94">
        <w:t xml:space="preserve"> an evaluation of what is good for incompetent patient in particular health care situations when the patient is longer competent (Veatch, 2003). </w:t>
      </w:r>
    </w:p>
    <w:p w:rsidR="0094747F" w:rsidRDefault="0094747F" w:rsidP="0094747F">
      <w:r>
        <w:t>The principle of autonomy leads to the notion that surrogates should follow the standard of “</w:t>
      </w:r>
      <w:r w:rsidRPr="00835E94">
        <w:rPr>
          <w:b/>
          <w:highlight w:val="yellow"/>
        </w:rPr>
        <w:t>substituted judgment,</w:t>
      </w:r>
      <w:r>
        <w:t>”</w:t>
      </w:r>
      <w:r w:rsidR="00835E94">
        <w:t xml:space="preserve"> in a journal article by </w:t>
      </w:r>
      <w:r w:rsidR="00835E94" w:rsidRPr="00835E94">
        <w:t xml:space="preserve">Robert L. Fine </w:t>
      </w:r>
      <w:r w:rsidR="00835E94">
        <w:t>which</w:t>
      </w:r>
      <w:r>
        <w:t xml:space="preserve"> </w:t>
      </w:r>
      <w:r w:rsidR="00835E94">
        <w:t xml:space="preserve">discussed how this </w:t>
      </w:r>
      <w:r>
        <w:t xml:space="preserve">means </w:t>
      </w:r>
      <w:r w:rsidR="00835E94">
        <w:t>“</w:t>
      </w:r>
      <w:r>
        <w:t>making the decision the patients would have made for themselves</w:t>
      </w:r>
      <w:r w:rsidR="00835E94">
        <w:t>”</w:t>
      </w:r>
      <w:r>
        <w:t xml:space="preserve">, </w:t>
      </w:r>
      <w:r w:rsidR="00835E94">
        <w:t>but this does not always happen Michael</w:t>
      </w:r>
      <w:r>
        <w:t xml:space="preserve"> Schiavo stated that his wife would not have wanted to go on in a persistent vegetative state</w:t>
      </w:r>
      <w:r w:rsidR="00835E94">
        <w:t xml:space="preserve"> but took years for a final decision to be </w:t>
      </w:r>
      <w:r w:rsidR="008B647B">
        <w:t>made (Fine, 2005</w:t>
      </w:r>
      <w:r w:rsidR="00F33645">
        <w:t>).</w:t>
      </w:r>
    </w:p>
    <w:p w:rsidR="0094747F" w:rsidRPr="008B647B" w:rsidRDefault="0094747F" w:rsidP="0094747F">
      <w:pPr>
        <w:rPr>
          <w:u w:val="single"/>
        </w:rPr>
      </w:pPr>
      <w:r w:rsidRPr="008B647B">
        <w:rPr>
          <w:u w:val="single"/>
        </w:rPr>
        <w:t>Beneficenc</w:t>
      </w:r>
      <w:r w:rsidR="00F33645" w:rsidRPr="008B647B">
        <w:rPr>
          <w:u w:val="single"/>
        </w:rPr>
        <w:t>e and Nonmaleficence</w:t>
      </w:r>
    </w:p>
    <w:p w:rsidR="0094747F" w:rsidRDefault="0094747F" w:rsidP="0094747F">
      <w:r w:rsidRPr="00F33645">
        <w:rPr>
          <w:b/>
          <w:highlight w:val="yellow"/>
        </w:rPr>
        <w:t>Beneficence</w:t>
      </w:r>
      <w:r w:rsidRPr="00F33645">
        <w:rPr>
          <w:b/>
        </w:rPr>
        <w:t xml:space="preserve"> </w:t>
      </w:r>
      <w:r w:rsidR="00F33645" w:rsidRPr="00F33645">
        <w:rPr>
          <w:b/>
        </w:rPr>
        <w:t>consists of deeds of “mercy, kindness, and charity” and that people take actions to benefit and to promote the welfare of others</w:t>
      </w:r>
      <w:r w:rsidR="00F33645">
        <w:t xml:space="preserve"> (Beauchamp &amp; Childress, 2001, pg. 166</w:t>
      </w:r>
      <w:r w:rsidR="00F33645" w:rsidRPr="00F33645">
        <w:rPr>
          <w:b/>
        </w:rPr>
        <w:t xml:space="preserve">). </w:t>
      </w:r>
      <w:r w:rsidR="00F33645" w:rsidRPr="00F33645">
        <w:rPr>
          <w:b/>
          <w:highlight w:val="yellow"/>
        </w:rPr>
        <w:t>N</w:t>
      </w:r>
      <w:r w:rsidRPr="00F33645">
        <w:rPr>
          <w:b/>
          <w:highlight w:val="yellow"/>
        </w:rPr>
        <w:t>onmaleficence</w:t>
      </w:r>
      <w:r w:rsidRPr="00F33645">
        <w:rPr>
          <w:b/>
        </w:rPr>
        <w:t xml:space="preserve"> </w:t>
      </w:r>
      <w:r w:rsidR="00F33645" w:rsidRPr="00F33645">
        <w:rPr>
          <w:b/>
        </w:rPr>
        <w:t>is the principle used to communicate the obligation to “do no harm” (Butts &amp; Rich, 2008)</w:t>
      </w:r>
      <w:r w:rsidR="00F33645">
        <w:t>.</w:t>
      </w:r>
      <w:r>
        <w:t xml:space="preserve"> </w:t>
      </w:r>
      <w:r w:rsidR="00F33645">
        <w:t>Robert L. Fine</w:t>
      </w:r>
      <w:r w:rsidR="00F33645" w:rsidRPr="00F33645">
        <w:t xml:space="preserve"> Baylor University Medical Center</w:t>
      </w:r>
      <w:r w:rsidR="00F33645">
        <w:t xml:space="preserve"> states that  the  “</w:t>
      </w:r>
      <w:r>
        <w:t>Vegetative patients experience nei</w:t>
      </w:r>
      <w:r w:rsidR="00F33645">
        <w:t xml:space="preserve">ther burdens nor benefits </w:t>
      </w:r>
      <w:r>
        <w:t xml:space="preserve">show no signs of </w:t>
      </w:r>
      <w:r w:rsidR="00F33645">
        <w:t>joy or pain, experience</w:t>
      </w:r>
      <w:r>
        <w:t xml:space="preserve"> hunger, thirst, or physical, psychologi</w:t>
      </w:r>
      <w:r w:rsidR="00F33645">
        <w:t xml:space="preserve">cal, social, or spiritual pain </w:t>
      </w:r>
      <w:r w:rsidR="008B647B">
        <w:t xml:space="preserve">and that </w:t>
      </w:r>
      <w:r w:rsidR="00F33645">
        <w:t>s</w:t>
      </w:r>
      <w:r>
        <w:t>uffering is a conscious experience, and vegetative patients lack consciousness</w:t>
      </w:r>
      <w:r w:rsidR="00F33645">
        <w:t>” (Fine 2005)</w:t>
      </w:r>
      <w:r w:rsidR="008B647B">
        <w:t xml:space="preserve">. In 1992 the American Nurse Association include the statement that the patient or surrogates along with guidance for a health care team should make decision regarding with holding artificial nutrient and hydration, and if discontinued the nurse will continue to provide competent care even without artificial nutrient and hydration, The ANA position statement includes a clear distinction between regular food and water and artificial nutrient and hydration (Butts &amp; Rich, 2008, pg. 472). Since the Terri Schiavo case was released to the press the ANA on March 23, 2005 upheld the decision for the right of the patient or surrogate to choose foregoing artificial nutrient and hydration.  </w:t>
      </w:r>
    </w:p>
    <w:p w:rsidR="0094747F" w:rsidRDefault="0094747F" w:rsidP="0094747F"/>
    <w:p w:rsidR="0094747F" w:rsidRPr="008B647B" w:rsidRDefault="008B647B" w:rsidP="0094747F">
      <w:pPr>
        <w:rPr>
          <w:u w:val="single"/>
        </w:rPr>
      </w:pPr>
      <w:r>
        <w:rPr>
          <w:u w:val="single"/>
        </w:rPr>
        <w:lastRenderedPageBreak/>
        <w:t>Justice</w:t>
      </w:r>
    </w:p>
    <w:p w:rsidR="0073530C" w:rsidRDefault="0073530C" w:rsidP="0094747F">
      <w:r w:rsidRPr="0073530C">
        <w:rPr>
          <w:b/>
          <w:highlight w:val="yellow"/>
        </w:rPr>
        <w:t>Justice</w:t>
      </w:r>
      <w:r w:rsidRPr="0073530C">
        <w:rPr>
          <w:b/>
        </w:rPr>
        <w:t xml:space="preserve"> as a principle in health care ethics refers to fairness, treating people equally and without prejudice, and the equitable distribution of benefits and burdens (Butts &amp; Rich, 2008, pg.</w:t>
      </w:r>
      <w:r>
        <w:rPr>
          <w:b/>
        </w:rPr>
        <w:t xml:space="preserve"> </w:t>
      </w:r>
      <w:r w:rsidRPr="0073530C">
        <w:rPr>
          <w:b/>
        </w:rPr>
        <w:t xml:space="preserve"> 48).</w:t>
      </w:r>
      <w:r>
        <w:t xml:space="preserve"> </w:t>
      </w:r>
      <w:r w:rsidRPr="0073530C">
        <w:t xml:space="preserve">Most of the time, difficult health care resources allocation decisions are based on attempts to answer questions regarding who has a right to health care and who will pay for health care cost. Robert L. Fine </w:t>
      </w:r>
      <w:r w:rsidR="0094747F" w:rsidRPr="0073530C">
        <w:t>believe</w:t>
      </w:r>
      <w:r w:rsidRPr="0073530C">
        <w:t>s</w:t>
      </w:r>
      <w:r w:rsidR="0094747F" w:rsidRPr="0073530C">
        <w:t xml:space="preserve"> </w:t>
      </w:r>
      <w:r w:rsidRPr="0073530C">
        <w:t>“</w:t>
      </w:r>
      <w:r w:rsidR="0094747F" w:rsidRPr="0073530C">
        <w:t>we must collectively face up t</w:t>
      </w:r>
      <w:r w:rsidRPr="0073530C">
        <w:t>o distributive justice concerns f</w:t>
      </w:r>
      <w:r w:rsidR="0094747F" w:rsidRPr="0073530C">
        <w:t>amilies may bankrupt themselves caring for patients in a persistent vegetative state, at which point Medicaid steps in</w:t>
      </w:r>
      <w:r w:rsidRPr="0073530C">
        <w:t>” (Fine , 2005</w:t>
      </w:r>
      <w:r>
        <w:t>)</w:t>
      </w:r>
    </w:p>
    <w:p w:rsidR="005B459F" w:rsidRDefault="005B459F" w:rsidP="0094747F">
      <w:r>
        <w:t>Paternalism</w:t>
      </w:r>
    </w:p>
    <w:p w:rsidR="005B459F" w:rsidRPr="00AC2463" w:rsidRDefault="005B459F" w:rsidP="0094747F">
      <w:pPr>
        <w:rPr>
          <w:b/>
        </w:rPr>
      </w:pPr>
      <w:r>
        <w:t>The family of Terrie Schiavo experiences ethical conflicts when confronted with having to make a choice between respecting their daughter rights to self-determination and doing what is good for themselves.</w:t>
      </w:r>
      <w:r w:rsidR="00AC2463">
        <w:t xml:space="preserve"> </w:t>
      </w:r>
      <w:r w:rsidR="00AC2463" w:rsidRPr="00AC2463">
        <w:rPr>
          <w:b/>
        </w:rPr>
        <w:t xml:space="preserve">The deliberate overriding of a patient’s opportunity to exercise autonomy because of a perceive obligation of beneficence is called </w:t>
      </w:r>
      <w:r w:rsidR="00AC2463" w:rsidRPr="00AC2463">
        <w:rPr>
          <w:b/>
          <w:highlight w:val="yellow"/>
        </w:rPr>
        <w:t>paternalism</w:t>
      </w:r>
      <w:r w:rsidR="00AC2463" w:rsidRPr="00AC2463">
        <w:rPr>
          <w:b/>
        </w:rPr>
        <w:t xml:space="preserve"> (Butts &amp; Rich, </w:t>
      </w:r>
      <w:proofErr w:type="gramStart"/>
      <w:r w:rsidR="00AC2463" w:rsidRPr="00AC2463">
        <w:rPr>
          <w:b/>
        </w:rPr>
        <w:t>2008</w:t>
      </w:r>
      <w:r w:rsidR="00AC2463">
        <w:rPr>
          <w:b/>
        </w:rPr>
        <w:t xml:space="preserve"> ,</w:t>
      </w:r>
      <w:proofErr w:type="spellStart"/>
      <w:r w:rsidR="00AC2463">
        <w:rPr>
          <w:b/>
        </w:rPr>
        <w:t>pg</w:t>
      </w:r>
      <w:proofErr w:type="spellEnd"/>
      <w:proofErr w:type="gramEnd"/>
      <w:r w:rsidR="00AC2463">
        <w:rPr>
          <w:b/>
        </w:rPr>
        <w:t xml:space="preserve"> .48</w:t>
      </w:r>
      <w:bookmarkStart w:id="0" w:name="_GoBack"/>
      <w:bookmarkEnd w:id="0"/>
      <w:r w:rsidR="00AC2463" w:rsidRPr="00AC2463">
        <w:rPr>
          <w:b/>
        </w:rPr>
        <w:t>)</w:t>
      </w:r>
    </w:p>
    <w:p w:rsidR="00126D50" w:rsidRDefault="00126D50" w:rsidP="0094747F">
      <w:proofErr w:type="gramStart"/>
      <w:r w:rsidRPr="00126D50">
        <w:t>Butts, J. B., &amp; Rich, K. L. (2008).</w:t>
      </w:r>
      <w:proofErr w:type="gramEnd"/>
      <w:r w:rsidRPr="00126D50">
        <w:t xml:space="preserve"> Nursing ethics: Across the curriculum and into practice (2nd Ed.). Sudbury, Ma: Jones and Bartlett.</w:t>
      </w:r>
    </w:p>
    <w:p w:rsidR="0073530C" w:rsidRDefault="00126D50" w:rsidP="0094747F">
      <w:r w:rsidRPr="00835E94">
        <w:t>Beauchamp</w:t>
      </w:r>
      <w:r>
        <w:t xml:space="preserve">, T.L., &amp; </w:t>
      </w:r>
      <w:r w:rsidRPr="00835E94">
        <w:t>Childress</w:t>
      </w:r>
      <w:r>
        <w:t>, J. F.</w:t>
      </w:r>
      <w:r w:rsidR="00835E94" w:rsidRPr="00835E94">
        <w:t xml:space="preserve"> </w:t>
      </w:r>
      <w:r>
        <w:t>(</w:t>
      </w:r>
      <w:r w:rsidR="00835E94" w:rsidRPr="00835E94">
        <w:t>2001</w:t>
      </w:r>
      <w:r>
        <w:t>). Principles of biomedical ethics (5</w:t>
      </w:r>
      <w:r w:rsidRPr="00126D50">
        <w:rPr>
          <w:vertAlign w:val="superscript"/>
        </w:rPr>
        <w:t>th</w:t>
      </w:r>
      <w:r>
        <w:t xml:space="preserve"> ed.) .New York, NY: Oxford University Press.</w:t>
      </w:r>
    </w:p>
    <w:p w:rsidR="00835E94" w:rsidRDefault="00126D50" w:rsidP="0094747F">
      <w:r w:rsidRPr="00835E94">
        <w:t>Emanuel</w:t>
      </w:r>
      <w:r>
        <w:t xml:space="preserve">, L.A., </w:t>
      </w:r>
      <w:r w:rsidR="00835E94" w:rsidRPr="00835E94">
        <w:t>Danis</w:t>
      </w:r>
      <w:r>
        <w:t>, M</w:t>
      </w:r>
      <w:r w:rsidR="00835E94" w:rsidRPr="00835E94">
        <w:t xml:space="preserve">, </w:t>
      </w:r>
      <w:r w:rsidRPr="00835E94">
        <w:t>Pearlman</w:t>
      </w:r>
      <w:r>
        <w:t>, R.A., &amp;</w:t>
      </w:r>
      <w:r w:rsidR="00835E94" w:rsidRPr="00835E94">
        <w:t xml:space="preserve"> </w:t>
      </w:r>
      <w:r w:rsidRPr="00835E94">
        <w:t>Singer</w:t>
      </w:r>
      <w:r>
        <w:t>, P.A. (</w:t>
      </w:r>
      <w:r w:rsidRPr="00835E94">
        <w:t>1995</w:t>
      </w:r>
      <w:r>
        <w:t>). Advance care planning as a process: Structuring the discussion in practice. American Geriatrics Society, 43, pg. 440-446.</w:t>
      </w:r>
    </w:p>
    <w:p w:rsidR="00835E94" w:rsidRDefault="005B459F" w:rsidP="0094747F">
      <w:r w:rsidRPr="00835E94">
        <w:t>Veatch</w:t>
      </w:r>
      <w:r>
        <w:t>, R.M.</w:t>
      </w:r>
      <w:r w:rsidR="00835E94" w:rsidRPr="00835E94">
        <w:t xml:space="preserve"> </w:t>
      </w:r>
      <w:r>
        <w:t>(</w:t>
      </w:r>
      <w:r w:rsidR="00835E94" w:rsidRPr="00835E94">
        <w:t>2003</w:t>
      </w:r>
      <w:r>
        <w:t>) .The basics of bioethics (2</w:t>
      </w:r>
      <w:r w:rsidRPr="005B459F">
        <w:rPr>
          <w:vertAlign w:val="superscript"/>
        </w:rPr>
        <w:t>nd</w:t>
      </w:r>
      <w:r>
        <w:t xml:space="preserve"> Ed.) Upper Saddle River, NJ: Prentice Hall.</w:t>
      </w:r>
    </w:p>
    <w:p w:rsidR="0094747F" w:rsidRDefault="00835E94" w:rsidP="0094747F">
      <w:r w:rsidRPr="00835E94">
        <w:t xml:space="preserve">Robert L. </w:t>
      </w:r>
      <w:r w:rsidR="005B459F" w:rsidRPr="00835E94">
        <w:t>Fine</w:t>
      </w:r>
      <w:r w:rsidR="005B459F">
        <w:t xml:space="preserve"> (</w:t>
      </w:r>
      <w:r w:rsidR="005B459F" w:rsidRPr="00835E94">
        <w:t>2005</w:t>
      </w:r>
      <w:r w:rsidR="005B459F">
        <w:t>).</w:t>
      </w:r>
      <w:r w:rsidR="0094747F">
        <w:t>B</w:t>
      </w:r>
      <w:r>
        <w:t>aylor University Medical Center</w:t>
      </w:r>
      <w:r w:rsidR="005B459F">
        <w:t xml:space="preserve"> from</w:t>
      </w:r>
      <w:r w:rsidR="0094747F">
        <w:t xml:space="preserve"> Quinlan to Schiavo: medical, ethical, and legal issues in severe brain injury</w:t>
      </w:r>
      <w:r w:rsidR="005B459F">
        <w:t xml:space="preserve">. Retrieved </w:t>
      </w:r>
      <w:proofErr w:type="gramStart"/>
      <w:r w:rsidR="005B459F">
        <w:t>from :</w:t>
      </w:r>
      <w:proofErr w:type="gramEnd"/>
      <w:r w:rsidR="005B459F">
        <w:t xml:space="preserve"> </w:t>
      </w:r>
      <w:hyperlink r:id="rId8" w:history="1">
        <w:r w:rsidR="0094747F" w:rsidRPr="00735FED">
          <w:rPr>
            <w:rStyle w:val="Hyperlink"/>
          </w:rPr>
          <w:t>http://www.ncbi.nlm.nih.gov/pmc/articles/PMC1255938/</w:t>
        </w:r>
      </w:hyperlink>
    </w:p>
    <w:p w:rsidR="0094747F" w:rsidRDefault="0094747F" w:rsidP="0094747F"/>
    <w:p w:rsidR="0094747F" w:rsidRDefault="0094747F" w:rsidP="0094747F"/>
    <w:sectPr w:rsidR="00947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69" w:rsidRDefault="00FB6E69" w:rsidP="00C2634E">
      <w:pPr>
        <w:spacing w:after="0" w:line="240" w:lineRule="auto"/>
      </w:pPr>
      <w:r>
        <w:separator/>
      </w:r>
    </w:p>
  </w:endnote>
  <w:endnote w:type="continuationSeparator" w:id="0">
    <w:p w:rsidR="00FB6E69" w:rsidRDefault="00FB6E69" w:rsidP="00C2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69" w:rsidRDefault="00FB6E69" w:rsidP="00C2634E">
      <w:pPr>
        <w:spacing w:after="0" w:line="240" w:lineRule="auto"/>
      </w:pPr>
      <w:r>
        <w:separator/>
      </w:r>
    </w:p>
  </w:footnote>
  <w:footnote w:type="continuationSeparator" w:id="0">
    <w:p w:rsidR="00FB6E69" w:rsidRDefault="00FB6E69" w:rsidP="00C26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47F"/>
    <w:rsid w:val="00126D50"/>
    <w:rsid w:val="00152332"/>
    <w:rsid w:val="002D33C5"/>
    <w:rsid w:val="00560C7C"/>
    <w:rsid w:val="005B459F"/>
    <w:rsid w:val="0073530C"/>
    <w:rsid w:val="00835E94"/>
    <w:rsid w:val="008B647B"/>
    <w:rsid w:val="0094747F"/>
    <w:rsid w:val="00A22B62"/>
    <w:rsid w:val="00AC2463"/>
    <w:rsid w:val="00C2634E"/>
    <w:rsid w:val="00CF1478"/>
    <w:rsid w:val="00D86102"/>
    <w:rsid w:val="00E21876"/>
    <w:rsid w:val="00F33645"/>
    <w:rsid w:val="00FB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7F"/>
    <w:rPr>
      <w:color w:val="0000FF" w:themeColor="hyperlink"/>
      <w:u w:val="single"/>
    </w:rPr>
  </w:style>
  <w:style w:type="paragraph" w:styleId="Header">
    <w:name w:val="header"/>
    <w:basedOn w:val="Normal"/>
    <w:link w:val="HeaderChar"/>
    <w:uiPriority w:val="99"/>
    <w:unhideWhenUsed/>
    <w:rsid w:val="00C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4E"/>
  </w:style>
  <w:style w:type="paragraph" w:styleId="Footer">
    <w:name w:val="footer"/>
    <w:basedOn w:val="Normal"/>
    <w:link w:val="FooterChar"/>
    <w:uiPriority w:val="99"/>
    <w:unhideWhenUsed/>
    <w:rsid w:val="00C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7F"/>
    <w:rPr>
      <w:color w:val="0000FF" w:themeColor="hyperlink"/>
      <w:u w:val="single"/>
    </w:rPr>
  </w:style>
  <w:style w:type="paragraph" w:styleId="Header">
    <w:name w:val="header"/>
    <w:basedOn w:val="Normal"/>
    <w:link w:val="HeaderChar"/>
    <w:uiPriority w:val="99"/>
    <w:unhideWhenUsed/>
    <w:rsid w:val="00C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34E"/>
  </w:style>
  <w:style w:type="paragraph" w:styleId="Footer">
    <w:name w:val="footer"/>
    <w:basedOn w:val="Normal"/>
    <w:link w:val="FooterChar"/>
    <w:uiPriority w:val="99"/>
    <w:unhideWhenUsed/>
    <w:rsid w:val="00C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12559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64BD-08A0-42A2-9507-D0FFCA64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3</cp:revision>
  <dcterms:created xsi:type="dcterms:W3CDTF">2011-11-15T19:34:00Z</dcterms:created>
  <dcterms:modified xsi:type="dcterms:W3CDTF">2011-11-16T03:18:00Z</dcterms:modified>
</cp:coreProperties>
</file>