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79" w:rsidRDefault="00867A79" w:rsidP="00867A79">
      <w:pPr>
        <w:pStyle w:val="APA"/>
      </w:pPr>
    </w:p>
    <w:p w:rsidR="00867A79" w:rsidRDefault="00867A79" w:rsidP="00867A79">
      <w:pPr>
        <w:pStyle w:val="APA"/>
      </w:pPr>
    </w:p>
    <w:p w:rsidR="00867A79" w:rsidRDefault="00867A79" w:rsidP="00867A79">
      <w:pPr>
        <w:pStyle w:val="APA"/>
      </w:pPr>
    </w:p>
    <w:p w:rsidR="00867A79" w:rsidRDefault="00867A79" w:rsidP="00867A79">
      <w:pPr>
        <w:pStyle w:val="APA"/>
      </w:pPr>
    </w:p>
    <w:p w:rsidR="00867A79" w:rsidRPr="00547EB1" w:rsidRDefault="00547EB1" w:rsidP="00867A79">
      <w:pPr>
        <w:pStyle w:val="APA"/>
        <w:rPr>
          <w:color w:val="FF0000"/>
        </w:rPr>
      </w:pPr>
      <w:r w:rsidRPr="00547EB1">
        <w:rPr>
          <w:color w:val="FF0000"/>
        </w:rPr>
        <w:t>13.5/15</w:t>
      </w:r>
    </w:p>
    <w:p w:rsidR="00867A79" w:rsidRDefault="00867A79" w:rsidP="00867A79">
      <w:pPr>
        <w:pStyle w:val="APA"/>
      </w:pPr>
    </w:p>
    <w:p w:rsidR="00867A79" w:rsidRDefault="00867A79" w:rsidP="00867A79">
      <w:pPr>
        <w:pStyle w:val="APA"/>
      </w:pPr>
    </w:p>
    <w:p w:rsidR="00867A79" w:rsidRDefault="00867A79" w:rsidP="00867A79">
      <w:pPr>
        <w:pStyle w:val="APAHeadingCenter"/>
      </w:pPr>
      <w:bookmarkStart w:id="0" w:name="bmTitlePageTitle"/>
      <w:r>
        <w:t>Frailty Case 5.2</w:t>
      </w:r>
      <w:bookmarkEnd w:id="0"/>
    </w:p>
    <w:p w:rsidR="00867A79" w:rsidRDefault="00867A79" w:rsidP="00867A79">
      <w:pPr>
        <w:pStyle w:val="APAHeadingCenter"/>
      </w:pPr>
      <w:bookmarkStart w:id="1" w:name="bmTitlePageName"/>
      <w:r>
        <w:t>Natalie Thomas</w:t>
      </w:r>
      <w:bookmarkEnd w:id="1"/>
    </w:p>
    <w:p w:rsidR="00867A79" w:rsidRDefault="00867A79" w:rsidP="00867A79">
      <w:pPr>
        <w:pStyle w:val="APAHeadingCenter"/>
      </w:pPr>
      <w:bookmarkStart w:id="2" w:name="bmTitlePageInst"/>
      <w:r>
        <w:t>Lakeview</w:t>
      </w:r>
      <w:bookmarkEnd w:id="2"/>
    </w:p>
    <w:p w:rsidR="00867A79" w:rsidRDefault="00867A79" w:rsidP="00867A79">
      <w:pPr>
        <w:pStyle w:val="APAHeadingCenter"/>
      </w:pPr>
      <w:bookmarkStart w:id="3" w:name="bmTitleAdd1"/>
      <w:bookmarkEnd w:id="3"/>
    </w:p>
    <w:p w:rsidR="00867A79" w:rsidRDefault="00867A79" w:rsidP="00867A79">
      <w:pPr>
        <w:pStyle w:val="APAHeadingCenter"/>
      </w:pPr>
      <w:bookmarkStart w:id="4" w:name="bmTitleAdd2"/>
      <w:bookmarkEnd w:id="4"/>
    </w:p>
    <w:p w:rsidR="00867A79" w:rsidRDefault="00867A79" w:rsidP="00867A79">
      <w:pPr>
        <w:pStyle w:val="APAHeadingCenter"/>
      </w:pPr>
      <w:bookmarkStart w:id="5" w:name="bmTitleAdd3"/>
      <w:bookmarkEnd w:id="5"/>
    </w:p>
    <w:p w:rsidR="00867A79" w:rsidRDefault="00867A79" w:rsidP="00867A79">
      <w:pPr>
        <w:pStyle w:val="APAHeadingCenter"/>
      </w:pPr>
      <w:bookmarkStart w:id="6" w:name="bmTitleAdd4"/>
      <w:bookmarkEnd w:id="6"/>
    </w:p>
    <w:p w:rsidR="00867A79" w:rsidRDefault="00867A79" w:rsidP="00867A79">
      <w:pPr>
        <w:pStyle w:val="APA"/>
        <w:sectPr w:rsidR="00867A79" w:rsidSect="00867A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67A79" w:rsidRDefault="00867A79" w:rsidP="00867A79">
      <w:pPr>
        <w:pStyle w:val="APA"/>
        <w:sectPr w:rsidR="00867A79" w:rsidSect="00867A79">
          <w:headerReference w:type="first" r:id="rId12"/>
          <w:type w:val="continuous"/>
          <w:pgSz w:w="12240" w:h="15840" w:code="1"/>
          <w:pgMar w:top="1440" w:right="1440" w:bottom="1440" w:left="1440" w:header="720" w:footer="720" w:gutter="0"/>
          <w:cols w:space="720"/>
          <w:titlePg/>
          <w:docGrid w:linePitch="360"/>
        </w:sectPr>
      </w:pPr>
    </w:p>
    <w:p w:rsidR="00867A79" w:rsidRDefault="00867A79" w:rsidP="00867A79">
      <w:pPr>
        <w:pStyle w:val="APAHeadingCenter"/>
      </w:pPr>
      <w:bookmarkStart w:id="7" w:name="bmFirstPageTitle"/>
      <w:r>
        <w:lastRenderedPageBreak/>
        <w:t>Frailty Case 5.2</w:t>
      </w:r>
      <w:bookmarkEnd w:id="7"/>
    </w:p>
    <w:p w:rsidR="009E3B5F" w:rsidRDefault="009E3B5F" w:rsidP="009E3B5F">
      <w:pPr>
        <w:pStyle w:val="APA"/>
      </w:pPr>
      <w:r>
        <w:t>1.  Frailty involves the physical decline that the elderly populations often suffer from; thus making these adults more prone t</w:t>
      </w:r>
      <w:r w:rsidR="00B8023A">
        <w:t>o reduction in weight, weakness and slow movement</w:t>
      </w:r>
      <w:r>
        <w:t xml:space="preserve"> </w:t>
      </w:r>
      <w:bookmarkStart w:id="8" w:name="C409544842361111I0T409544863888889"/>
      <w:r>
        <w:t xml:space="preserve">(Mauk, </w:t>
      </w:r>
      <w:r w:rsidRPr="009E3B5F">
        <w:t>2010</w:t>
      </w:r>
      <w:r>
        <w:t>)</w:t>
      </w:r>
      <w:bookmarkEnd w:id="8"/>
      <w:r w:rsidR="00DE5998">
        <w:t xml:space="preserve">.  </w:t>
      </w:r>
    </w:p>
    <w:p w:rsidR="002C613E" w:rsidRDefault="002C613E" w:rsidP="002C613E">
      <w:pPr>
        <w:pStyle w:val="APA"/>
      </w:pPr>
      <w:r>
        <w:t xml:space="preserve">Disabilities in the United States occur in about twenty percent of the </w:t>
      </w:r>
      <w:proofErr w:type="gramStart"/>
      <w:r w:rsidRPr="002C613E">
        <w:t>population</w:t>
      </w:r>
      <w:bookmarkStart w:id="9" w:name="C409544900115741I0T409544910185185"/>
      <w:r>
        <w:t>(</w:t>
      </w:r>
      <w:proofErr w:type="gramEnd"/>
      <w:r>
        <w:t xml:space="preserve">National Institute of Health [NIH], </w:t>
      </w:r>
      <w:r w:rsidRPr="002C613E">
        <w:t>2012</w:t>
      </w:r>
      <w:r>
        <w:t>)</w:t>
      </w:r>
      <w:bookmarkEnd w:id="9"/>
      <w:r>
        <w:t xml:space="preserve">.  </w:t>
      </w:r>
      <w:r w:rsidR="00DE5998" w:rsidRPr="002C613E">
        <w:t>People</w:t>
      </w:r>
      <w:r w:rsidR="00DE5998">
        <w:t xml:space="preserve"> can be born with disabilities or they can acquire</w:t>
      </w:r>
      <w:r>
        <w:t xml:space="preserve"> them; and, they can be either mental or physical in nature.  </w:t>
      </w:r>
      <w:r w:rsidR="00DE5998">
        <w:t xml:space="preserve"> According to the National I</w:t>
      </w:r>
      <w:r>
        <w:t xml:space="preserve">nstitute of Health, </w:t>
      </w:r>
      <w:r w:rsidR="00286847">
        <w:t>individuals</w:t>
      </w:r>
      <w:r>
        <w:t xml:space="preserve"> with disabilities are still able to function, but most often</w:t>
      </w:r>
      <w:r w:rsidR="002C55BA">
        <w:t xml:space="preserve"> at a lower than expected </w:t>
      </w:r>
      <w:proofErr w:type="gramStart"/>
      <w:r w:rsidR="002C55BA">
        <w:t>level</w:t>
      </w:r>
      <w:bookmarkStart w:id="10" w:name="C409544900115741I0T409544913888889"/>
      <w:r w:rsidR="002C55BA">
        <w:t>(</w:t>
      </w:r>
      <w:proofErr w:type="gramEnd"/>
      <w:r w:rsidR="002C55BA">
        <w:t>NIH, 2012)</w:t>
      </w:r>
      <w:bookmarkEnd w:id="10"/>
      <w:r w:rsidR="002C55BA">
        <w:t>.</w:t>
      </w:r>
    </w:p>
    <w:p w:rsidR="002C55BA" w:rsidRDefault="00FC3859" w:rsidP="002C613E">
      <w:pPr>
        <w:pStyle w:val="APA"/>
      </w:pPr>
      <w:proofErr w:type="spellStart"/>
      <w:r>
        <w:t>Comorbidity</w:t>
      </w:r>
      <w:proofErr w:type="spellEnd"/>
      <w:r>
        <w:t xml:space="preserve"> is a result of two or more conditions that coexist within a client.</w:t>
      </w:r>
      <w:r w:rsidR="00113440">
        <w:t xml:space="preserve">  The Center for Disease Control suggests that co existing conditions </w:t>
      </w:r>
      <w:r w:rsidR="005A54F5">
        <w:t xml:space="preserve">are most often long term </w:t>
      </w:r>
      <w:proofErr w:type="gramStart"/>
      <w:r w:rsidR="005A54F5">
        <w:t>conditions</w:t>
      </w:r>
      <w:bookmarkStart w:id="11" w:name="C409553497106481I0T409553522337963"/>
      <w:r w:rsidR="00BF2C52">
        <w:t>(</w:t>
      </w:r>
      <w:proofErr w:type="gramEnd"/>
      <w:r w:rsidR="00BF2C52">
        <w:t>Cente</w:t>
      </w:r>
      <w:r w:rsidR="005A54F5">
        <w:t>r</w:t>
      </w:r>
      <w:r w:rsidR="00BF2C52">
        <w:t>s</w:t>
      </w:r>
      <w:r w:rsidR="005A54F5">
        <w:t xml:space="preserve"> for Disease Control [CDC], 2011)</w:t>
      </w:r>
      <w:bookmarkEnd w:id="11"/>
    </w:p>
    <w:p w:rsidR="00F11581" w:rsidRPr="00F11581" w:rsidRDefault="00F11581" w:rsidP="002C613E">
      <w:pPr>
        <w:pStyle w:val="APA"/>
      </w:pPr>
      <w:r>
        <w:t xml:space="preserve">Disabilities, </w:t>
      </w:r>
      <w:proofErr w:type="spellStart"/>
      <w:r>
        <w:t>comorbidity</w:t>
      </w:r>
      <w:proofErr w:type="spellEnd"/>
      <w:r>
        <w:t>, and</w:t>
      </w:r>
      <w:r w:rsidR="00BF2C52">
        <w:t xml:space="preserve"> frailty are all </w:t>
      </w:r>
      <w:bookmarkStart w:id="12" w:name="C409553673495370I0T409558361921296"/>
      <w:proofErr w:type="gramStart"/>
      <w:r w:rsidR="001C7F17" w:rsidRPr="00BF2C52">
        <w:t>interrelated</w:t>
      </w:r>
      <w:r w:rsidR="001C7F17">
        <w:t>(</w:t>
      </w:r>
      <w:proofErr w:type="gramEnd"/>
      <w:r w:rsidR="00BF2C52">
        <w:t xml:space="preserve">Hartford </w:t>
      </w:r>
      <w:commentRangeStart w:id="13"/>
      <w:r w:rsidR="00BF2C52">
        <w:t>Institute</w:t>
      </w:r>
      <w:commentRangeEnd w:id="13"/>
      <w:r w:rsidR="008B5C43">
        <w:rPr>
          <w:rStyle w:val="CommentReference"/>
        </w:rPr>
        <w:commentReference w:id="13"/>
      </w:r>
      <w:r w:rsidR="00BF2C52">
        <w:t xml:space="preserve"> for Geriatric Nursing, </w:t>
      </w:r>
      <w:r w:rsidR="00BF2C52" w:rsidRPr="00BF2C52">
        <w:t>2007</w:t>
      </w:r>
      <w:r w:rsidR="00BF2C52">
        <w:t>)</w:t>
      </w:r>
      <w:bookmarkEnd w:id="12"/>
      <w:r w:rsidR="00BF2C52">
        <w:t xml:space="preserve">.  </w:t>
      </w:r>
      <w:r w:rsidRPr="00BF2C52">
        <w:t>Frailty</w:t>
      </w:r>
      <w:r>
        <w:t xml:space="preserve"> and disability can often be confused, but the differentiating factor in the two conditions is that a disability can be one condition alone or can result from a myriad of conditions; whereas, frailty is always a term used with a set of systems that decline</w:t>
      </w:r>
      <w:bookmarkStart w:id="14" w:name="C409553673495370I0T409553723032407"/>
      <w:r>
        <w:t>(Hartford Institute for Geriatric Nursing, 2007)</w:t>
      </w:r>
      <w:bookmarkEnd w:id="14"/>
      <w:r>
        <w:t>.</w:t>
      </w:r>
    </w:p>
    <w:p w:rsidR="00E67F0D" w:rsidRDefault="00E67F0D" w:rsidP="002C613E">
      <w:pPr>
        <w:pStyle w:val="APA"/>
      </w:pPr>
      <w:r>
        <w:t xml:space="preserve">2.  Frailty has a set of </w:t>
      </w:r>
      <w:r w:rsidR="00BE5945">
        <w:t>characteristics that</w:t>
      </w:r>
      <w:r w:rsidR="00972B82">
        <w:t xml:space="preserve"> together, make it a syndrome.</w:t>
      </w:r>
      <w:r w:rsidR="00F179C0">
        <w:t xml:space="preserve">  These symptoms include weight loss, exhaustion, loss of strength, and lack of activity</w:t>
      </w:r>
      <w:bookmarkStart w:id="15" w:name="C409544842361111I0T409553590856481"/>
      <w:r w:rsidR="00F179C0">
        <w:t>(Mauk, 2010)</w:t>
      </w:r>
      <w:bookmarkEnd w:id="15"/>
      <w:r w:rsidR="00F179C0">
        <w:t>.</w:t>
      </w:r>
    </w:p>
    <w:p w:rsidR="00F179C0" w:rsidRDefault="00F179C0" w:rsidP="002C613E">
      <w:pPr>
        <w:pStyle w:val="APA"/>
      </w:pPr>
      <w:r>
        <w:t>3.  Mrs. Gibson has shrinking, which would add one to her score.  She is also fatigued, which gives her a score of one.  She is now using a wheelchair, indicating that her strength has diminished, which adds another point to her score.  The text also states that Mrs. Gibson is withdrawn, indicating slowness, and she has low physical activity</w:t>
      </w:r>
      <w:bookmarkStart w:id="16" w:name="C409553645138889I0T409553664351852"/>
      <w:r>
        <w:t>(Bowles, 2011)</w:t>
      </w:r>
      <w:bookmarkEnd w:id="16"/>
      <w:r w:rsidR="007A71C3">
        <w:t xml:space="preserve">.  Based on the </w:t>
      </w:r>
      <w:r w:rsidR="007A71C3">
        <w:lastRenderedPageBreak/>
        <w:t>frailty screening tool, Mrs. Gibson would have a frailty score of five, indicating that she is frail</w:t>
      </w:r>
      <w:bookmarkStart w:id="17" w:name="C409553673495370I0T409553687152778"/>
      <w:r w:rsidR="007A71C3">
        <w:t xml:space="preserve">(Hartford Institute for Geriatric Nursing, </w:t>
      </w:r>
      <w:commentRangeStart w:id="18"/>
      <w:r w:rsidR="007A71C3">
        <w:t>2007</w:t>
      </w:r>
      <w:commentRangeEnd w:id="18"/>
      <w:r w:rsidR="00B92921">
        <w:rPr>
          <w:rStyle w:val="CommentReference"/>
        </w:rPr>
        <w:commentReference w:id="18"/>
      </w:r>
      <w:r w:rsidR="007A71C3">
        <w:t>)</w:t>
      </w:r>
      <w:bookmarkEnd w:id="17"/>
    </w:p>
    <w:p w:rsidR="008B5C43" w:rsidRDefault="008B5C43" w:rsidP="008B5C43">
      <w:pPr>
        <w:overflowPunct/>
        <w:textAlignment w:val="auto"/>
        <w:rPr>
          <w:rFonts w:ascii="ITCGaramondStd-Bk" w:hAnsi="ITCGaramondStd-Bk" w:cs="ITCGaramondStd-Bk"/>
        </w:rPr>
      </w:pPr>
      <w:r w:rsidRPr="00B92921">
        <w:rPr>
          <w:rFonts w:ascii="ITCGaramondStd-Bk" w:hAnsi="ITCGaramondStd-Bk" w:cs="ITCGaramondStd-Bk"/>
          <w:color w:val="FF0000"/>
        </w:rPr>
        <w:t xml:space="preserve">Mrs. Gibson’s score on the frailty assessment tool is a “3” as she has </w:t>
      </w:r>
      <w:proofErr w:type="gramStart"/>
      <w:r w:rsidRPr="00B92921">
        <w:rPr>
          <w:rFonts w:ascii="ITCGaramondStd-Bk" w:hAnsi="ITCGaramondStd-Bk" w:cs="ITCGaramondStd-Bk"/>
          <w:color w:val="FF0000"/>
        </w:rPr>
        <w:t>experienced  a</w:t>
      </w:r>
      <w:proofErr w:type="gramEnd"/>
      <w:r w:rsidRPr="00B92921">
        <w:rPr>
          <w:rFonts w:ascii="ITCGaramondStd-Bk" w:hAnsi="ITCGaramondStd-Bk" w:cs="ITCGaramondStd-Bk"/>
          <w:color w:val="FF0000"/>
        </w:rPr>
        <w:t xml:space="preserve"> weight loss of 14 lbs, has the presence of fatigue, low physical activity and no longer can ambulate</w:t>
      </w:r>
      <w:r>
        <w:rPr>
          <w:rFonts w:ascii="ITCGaramondStd-Bk" w:hAnsi="ITCGaramondStd-Bk" w:cs="ITCGaramondStd-Bk"/>
        </w:rPr>
        <w:t>.</w:t>
      </w:r>
    </w:p>
    <w:p w:rsidR="008B5C43" w:rsidRDefault="008B5C43" w:rsidP="008B5C43">
      <w:pPr>
        <w:overflowPunct/>
        <w:textAlignment w:val="auto"/>
      </w:pPr>
    </w:p>
    <w:p w:rsidR="00F83706" w:rsidRDefault="00F83706" w:rsidP="002C613E">
      <w:pPr>
        <w:pStyle w:val="APA"/>
      </w:pPr>
      <w:r>
        <w:t>4.  There are two categories of frailty:  primary and secondary.</w:t>
      </w:r>
      <w:r w:rsidR="00D336AC">
        <w:t xml:space="preserve">  There is no etiology behind primary frailty.  However there is an etiological factor that plays a role in secondary </w:t>
      </w:r>
      <w:proofErr w:type="gramStart"/>
      <w:r w:rsidR="00D336AC">
        <w:t>frailty</w:t>
      </w:r>
      <w:bookmarkStart w:id="19" w:name="C409553673495370I0T409553745601852"/>
      <w:r w:rsidR="00D336AC">
        <w:t>(</w:t>
      </w:r>
      <w:proofErr w:type="gramEnd"/>
      <w:r w:rsidR="00D336AC">
        <w:t xml:space="preserve">Hartford Institute for Geriatric </w:t>
      </w:r>
      <w:commentRangeStart w:id="20"/>
      <w:r w:rsidR="00D336AC">
        <w:t>Nursing</w:t>
      </w:r>
      <w:commentRangeEnd w:id="20"/>
      <w:r w:rsidR="00B92921">
        <w:rPr>
          <w:rStyle w:val="CommentReference"/>
        </w:rPr>
        <w:commentReference w:id="20"/>
      </w:r>
      <w:r w:rsidR="00D336AC">
        <w:t>, 2007)</w:t>
      </w:r>
      <w:bookmarkEnd w:id="19"/>
      <w:r w:rsidR="00D336AC">
        <w:t>.</w:t>
      </w:r>
    </w:p>
    <w:p w:rsidR="004F4D65" w:rsidRDefault="004F4D65" w:rsidP="002C613E">
      <w:pPr>
        <w:pStyle w:val="APA"/>
      </w:pPr>
      <w:r>
        <w:t xml:space="preserve">5.  The criteria that comprise the six physiologic based risk factors for frailty include activated inflammation, immune system dysfunction, anemia, changes in the endocrine system, underweight or overweight, and </w:t>
      </w:r>
      <w:commentRangeStart w:id="21"/>
      <w:proofErr w:type="gramStart"/>
      <w:r>
        <w:t>age</w:t>
      </w:r>
      <w:bookmarkStart w:id="22" w:name="C409557833101852I0T409557885995370"/>
      <w:commentRangeEnd w:id="21"/>
      <w:proofErr w:type="gramEnd"/>
      <w:r w:rsidR="00B92921">
        <w:rPr>
          <w:rStyle w:val="CommentReference"/>
        </w:rPr>
        <w:commentReference w:id="21"/>
      </w:r>
      <w:r>
        <w:t>(Espinoza</w:t>
      </w:r>
      <w:r w:rsidR="00B92921">
        <w:rPr>
          <w:color w:val="FF0000"/>
        </w:rPr>
        <w:t>,</w:t>
      </w:r>
      <w:r>
        <w:t xml:space="preserve"> &amp; Fried, 2007)</w:t>
      </w:r>
      <w:bookmarkEnd w:id="22"/>
      <w:r w:rsidR="00CB4907">
        <w:t>.</w:t>
      </w:r>
    </w:p>
    <w:p w:rsidR="004F4D65" w:rsidRPr="00B92921" w:rsidRDefault="00CB4907" w:rsidP="00CB4907">
      <w:pPr>
        <w:pStyle w:val="APA"/>
        <w:rPr>
          <w:color w:val="FF0000"/>
        </w:rPr>
      </w:pPr>
      <w:r>
        <w:t xml:space="preserve">6.  There are several sociodemographic and psychological risk factors that contribute to frailty.  Studies have indicated that the incidence of frailty in the female gender is higher than that of </w:t>
      </w:r>
      <w:proofErr w:type="gramStart"/>
      <w:r>
        <w:t>males</w:t>
      </w:r>
      <w:bookmarkStart w:id="23" w:name="C409557833101852I0T409557908564815"/>
      <w:r>
        <w:t>(</w:t>
      </w:r>
      <w:proofErr w:type="gramEnd"/>
      <w:r>
        <w:t>Espinoza</w:t>
      </w:r>
      <w:r w:rsidR="00B92921">
        <w:rPr>
          <w:color w:val="FF0000"/>
        </w:rPr>
        <w:t>,</w:t>
      </w:r>
      <w:r>
        <w:t xml:space="preserve"> &amp; Fried, 2007)</w:t>
      </w:r>
      <w:bookmarkEnd w:id="23"/>
      <w:r>
        <w:t xml:space="preserve">.  Low socioeconomic status has also been linked to a higher incidence of </w:t>
      </w:r>
      <w:proofErr w:type="gramStart"/>
      <w:r>
        <w:t>frailty</w:t>
      </w:r>
      <w:bookmarkStart w:id="24" w:name="C409557833101852I0T409557912615741"/>
      <w:r>
        <w:t>(</w:t>
      </w:r>
      <w:proofErr w:type="gramEnd"/>
      <w:r>
        <w:t>Espinoza</w:t>
      </w:r>
      <w:r w:rsidR="00B92921">
        <w:rPr>
          <w:color w:val="FF0000"/>
        </w:rPr>
        <w:t>,</w:t>
      </w:r>
      <w:r>
        <w:t xml:space="preserve"> &amp; Fried, 2007)</w:t>
      </w:r>
      <w:bookmarkEnd w:id="24"/>
      <w:r>
        <w:t>.  In addition, minorities are at higher risk for frailty</w:t>
      </w:r>
      <w:bookmarkStart w:id="25" w:name="C409557833101852I0T409557924652778"/>
      <w:r>
        <w:t>(Espinoza &amp; Fried, 2007)</w:t>
      </w:r>
      <w:bookmarkEnd w:id="25"/>
      <w:r>
        <w:t xml:space="preserve">.  Lastly, research has demonstrated that depressed individuals are more likely to exhibit symptoms of </w:t>
      </w:r>
      <w:proofErr w:type="gramStart"/>
      <w:r>
        <w:t>frailty</w:t>
      </w:r>
      <w:bookmarkStart w:id="26" w:name="C409557833101852I0T409557955902778"/>
      <w:r>
        <w:t>(</w:t>
      </w:r>
      <w:proofErr w:type="gramEnd"/>
      <w:r>
        <w:t>Espinoza</w:t>
      </w:r>
      <w:r w:rsidR="00B92921">
        <w:rPr>
          <w:color w:val="FF0000"/>
        </w:rPr>
        <w:t>,</w:t>
      </w:r>
      <w:r>
        <w:t xml:space="preserve"> &amp; Fried, 2007)</w:t>
      </w:r>
      <w:bookmarkEnd w:id="26"/>
      <w:r w:rsidR="00B92921">
        <w:rPr>
          <w:color w:val="FF0000"/>
        </w:rPr>
        <w:t>.</w:t>
      </w:r>
    </w:p>
    <w:p w:rsidR="00CB4907" w:rsidRDefault="00CB4907" w:rsidP="00CB4907">
      <w:pPr>
        <w:pStyle w:val="APA"/>
      </w:pPr>
      <w:r>
        <w:t xml:space="preserve">7.  </w:t>
      </w:r>
      <w:r w:rsidR="00840165">
        <w:t>The only non modifiable risk factor for frailty is race.  The other risk factors can be modified.</w:t>
      </w:r>
      <w:r w:rsidR="00B92921">
        <w:t xml:space="preserve"> </w:t>
      </w:r>
      <w:r w:rsidR="00B92921" w:rsidRPr="00B92921">
        <w:rPr>
          <w:rFonts w:ascii="ITCGaramondStd-Bk" w:hAnsi="ITCGaramondStd-Bk" w:cs="ITCGaramondStd-Bk"/>
          <w:color w:val="FF0000"/>
        </w:rPr>
        <w:t>Gender, race, age, and socioeconomic status</w:t>
      </w:r>
    </w:p>
    <w:p w:rsidR="00840165" w:rsidRDefault="00840165" w:rsidP="00CB4907">
      <w:pPr>
        <w:pStyle w:val="APA"/>
      </w:pPr>
      <w:r>
        <w:t xml:space="preserve">8.  </w:t>
      </w:r>
      <w:r w:rsidR="006670C0">
        <w:t xml:space="preserve">Nutritional supplements for frailty include Vitamin D, carotenoids, Dehydroepiandrosterone, and </w:t>
      </w:r>
      <w:proofErr w:type="gramStart"/>
      <w:r w:rsidR="006670C0">
        <w:t>creatinine</w:t>
      </w:r>
      <w:bookmarkStart w:id="27" w:name="C409558010995370I0T409558032870370"/>
      <w:r w:rsidR="006670C0">
        <w:t>(</w:t>
      </w:r>
      <w:proofErr w:type="gramEnd"/>
      <w:r w:rsidR="006670C0">
        <w:t xml:space="preserve">Cherniak, Flores, &amp; </w:t>
      </w:r>
      <w:proofErr w:type="spellStart"/>
      <w:r w:rsidR="006670C0">
        <w:t>Troen</w:t>
      </w:r>
      <w:proofErr w:type="spellEnd"/>
      <w:r w:rsidR="006670C0">
        <w:t>, 2011)</w:t>
      </w:r>
      <w:bookmarkEnd w:id="27"/>
      <w:r w:rsidR="00B92921">
        <w:rPr>
          <w:color w:val="FF0000"/>
        </w:rPr>
        <w:t>.</w:t>
      </w:r>
      <w:r w:rsidR="00B92921">
        <w:t xml:space="preserve"> </w:t>
      </w:r>
    </w:p>
    <w:p w:rsidR="00D005AB" w:rsidRDefault="00D005AB" w:rsidP="00CB4907">
      <w:pPr>
        <w:pStyle w:val="APA"/>
      </w:pPr>
      <w:r>
        <w:t>9.  Tai Chi has been shown to be beneficial to people who suffer from frailty.  Studies have demonstrated that Tai Chi is not only safe for people with frailty, but it also builds strength</w:t>
      </w:r>
      <w:r w:rsidR="00641352">
        <w:t>,</w:t>
      </w:r>
      <w:r>
        <w:t xml:space="preserve"> promotes better balance, and is good for a positive mental outlook</w:t>
      </w:r>
      <w:bookmarkStart w:id="28" w:name="C409558010995370I0T409558074074074"/>
      <w:r>
        <w:t>(Cherniak et al., 2011)</w:t>
      </w:r>
      <w:bookmarkEnd w:id="28"/>
      <w:r>
        <w:t>.</w:t>
      </w:r>
    </w:p>
    <w:p w:rsidR="00B92921" w:rsidRDefault="00DB6F41" w:rsidP="00DB6F41">
      <w:pPr>
        <w:overflowPunct/>
        <w:autoSpaceDE/>
        <w:autoSpaceDN/>
        <w:adjustRightInd/>
        <w:spacing w:line="480" w:lineRule="auto"/>
        <w:textAlignment w:val="auto"/>
        <w:rPr>
          <w:sz w:val="24"/>
          <w:szCs w:val="24"/>
        </w:rPr>
      </w:pPr>
      <w:r>
        <w:rPr>
          <w:sz w:val="24"/>
          <w:szCs w:val="24"/>
        </w:rPr>
        <w:lastRenderedPageBreak/>
        <w:tab/>
      </w:r>
      <w:r w:rsidR="004C2866" w:rsidRPr="00DB6F41">
        <w:rPr>
          <w:sz w:val="24"/>
          <w:szCs w:val="24"/>
        </w:rPr>
        <w:t xml:space="preserve">10.  </w:t>
      </w:r>
      <w:r w:rsidR="009A2470" w:rsidRPr="00DB6F41">
        <w:rPr>
          <w:sz w:val="24"/>
          <w:szCs w:val="24"/>
        </w:rPr>
        <w:t>Specific examples of universal design include large print, perceptiple information, such as pictures to guide indiv</w:t>
      </w:r>
      <w:r w:rsidR="00641352">
        <w:rPr>
          <w:sz w:val="24"/>
          <w:szCs w:val="24"/>
        </w:rPr>
        <w:t xml:space="preserve">iduals to restrooms, </w:t>
      </w:r>
      <w:r w:rsidR="009A2470" w:rsidRPr="00DB6F41">
        <w:rPr>
          <w:sz w:val="24"/>
          <w:szCs w:val="24"/>
        </w:rPr>
        <w:t>automatic and wide doors</w:t>
      </w:r>
      <w:r w:rsidR="00641352">
        <w:rPr>
          <w:sz w:val="24"/>
          <w:szCs w:val="24"/>
        </w:rPr>
        <w:t xml:space="preserve"> </w:t>
      </w:r>
      <w:r w:rsidR="009A2470" w:rsidRPr="00DB6F41">
        <w:rPr>
          <w:sz w:val="24"/>
          <w:szCs w:val="24"/>
        </w:rPr>
        <w:t xml:space="preserve">that have low physical effort; and, widened hallways and countertops for wheelchair </w:t>
      </w:r>
      <w:proofErr w:type="gramStart"/>
      <w:r w:rsidR="009A2470" w:rsidRPr="00DB6F41">
        <w:rPr>
          <w:sz w:val="24"/>
          <w:szCs w:val="24"/>
        </w:rPr>
        <w:t>accessibility</w:t>
      </w:r>
      <w:bookmarkStart w:id="29" w:name="C409558236111111I0T409558276388889"/>
      <w:commentRangeStart w:id="30"/>
      <w:r w:rsidRPr="00DB6F41">
        <w:rPr>
          <w:sz w:val="24"/>
          <w:szCs w:val="24"/>
        </w:rPr>
        <w:t>(</w:t>
      </w:r>
      <w:proofErr w:type="gramEnd"/>
      <w:r w:rsidRPr="00DB6F41">
        <w:rPr>
          <w:sz w:val="24"/>
          <w:szCs w:val="24"/>
        </w:rPr>
        <w:t xml:space="preserve">"Universal design," </w:t>
      </w:r>
      <w:commentRangeEnd w:id="30"/>
      <w:r w:rsidR="00B92921">
        <w:rPr>
          <w:rStyle w:val="CommentReference"/>
        </w:rPr>
        <w:commentReference w:id="30"/>
      </w:r>
      <w:r w:rsidRPr="00DB6F41">
        <w:rPr>
          <w:sz w:val="24"/>
          <w:szCs w:val="24"/>
        </w:rPr>
        <w:t>2009)</w:t>
      </w:r>
      <w:bookmarkEnd w:id="29"/>
      <w:r w:rsidR="001D2A28">
        <w:rPr>
          <w:sz w:val="24"/>
          <w:szCs w:val="24"/>
        </w:rPr>
        <w:t>.</w:t>
      </w:r>
    </w:p>
    <w:p w:rsidR="00B92921" w:rsidRPr="00B92921" w:rsidRDefault="00B92921" w:rsidP="00B92921">
      <w:pPr>
        <w:overflowPunct/>
        <w:textAlignment w:val="auto"/>
        <w:rPr>
          <w:rFonts w:ascii="ITCGaramondStd-Bk" w:hAnsi="ITCGaramondStd-Bk" w:cs="ITCGaramondStd-Bk"/>
          <w:color w:val="FF0000"/>
        </w:rPr>
      </w:pPr>
      <w:r>
        <w:rPr>
          <w:sz w:val="24"/>
          <w:szCs w:val="24"/>
        </w:rPr>
        <w:t xml:space="preserve"> </w:t>
      </w:r>
      <w:r w:rsidRPr="00B92921">
        <w:rPr>
          <w:rFonts w:ascii="ITCGaramondStd-Bk" w:hAnsi="ITCGaramondStd-Bk" w:cs="ITCGaramondStd-Bk"/>
          <w:color w:val="FF0000"/>
        </w:rPr>
        <w:t>Installing standard electrical receptacles higher than usual above the floor, so they are in easy reach of everyone;</w:t>
      </w:r>
    </w:p>
    <w:p w:rsidR="00DB6F41" w:rsidRPr="00DB6F41" w:rsidRDefault="00B92921" w:rsidP="00B92921">
      <w:pPr>
        <w:overflowPunct/>
        <w:textAlignment w:val="auto"/>
        <w:rPr>
          <w:sz w:val="24"/>
        </w:rPr>
      </w:pPr>
      <w:r w:rsidRPr="00B92921">
        <w:rPr>
          <w:rFonts w:ascii="ITCGaramondStd-Bk" w:hAnsi="ITCGaramondStd-Bk" w:cs="ITCGaramondStd-Bk"/>
          <w:color w:val="FF000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r w:rsidR="006670C0">
        <w:br w:type="page"/>
      </w:r>
      <w:r w:rsidR="00DB6F41">
        <w:lastRenderedPageBreak/>
        <w:tab/>
      </w:r>
      <w:r w:rsidR="00DB6F41">
        <w:tab/>
      </w:r>
      <w:r w:rsidR="00DB6F41">
        <w:tab/>
      </w:r>
      <w:r w:rsidR="00DB6F41">
        <w:tab/>
      </w:r>
      <w:r w:rsidR="00DB6F41" w:rsidRPr="00DB6F41">
        <w:rPr>
          <w:sz w:val="24"/>
          <w:szCs w:val="24"/>
        </w:rPr>
        <w:tab/>
        <w:t>References</w:t>
      </w:r>
    </w:p>
    <w:p w:rsidR="00DB6F41" w:rsidRDefault="00DB6F41" w:rsidP="00DB6F41">
      <w:pPr>
        <w:pStyle w:val="APAReference"/>
      </w:pPr>
      <w:bookmarkStart w:id="31" w:name="R409553645138889I0"/>
      <w:r>
        <w:t xml:space="preserve">Bowles, D. J. (2011). Frailty. In </w:t>
      </w:r>
      <w:r>
        <w:rPr>
          <w:i/>
        </w:rPr>
        <w:t>Gerontology nursing case studies</w:t>
      </w:r>
      <w:r>
        <w:t xml:space="preserve"> (pp. 46-48). New York, NY: Springer.</w:t>
      </w:r>
      <w:bookmarkEnd w:id="31"/>
    </w:p>
    <w:p w:rsidR="00DB6F41" w:rsidRDefault="00DB6F41" w:rsidP="00DB6F41">
      <w:pPr>
        <w:pStyle w:val="APAReference"/>
      </w:pPr>
      <w:bookmarkStart w:id="32" w:name="R409553497106481I0"/>
      <w:r>
        <w:t xml:space="preserve">Centers for Disease Control. </w:t>
      </w:r>
      <w:proofErr w:type="gramStart"/>
      <w:r>
        <w:t xml:space="preserve">(2011). </w:t>
      </w:r>
      <w:r w:rsidRPr="00547EB1">
        <w:rPr>
          <w:i/>
          <w:color w:val="FF0000"/>
        </w:rPr>
        <w:t>Comorbidities.</w:t>
      </w:r>
      <w:proofErr w:type="gramEnd"/>
      <w:r>
        <w:t xml:space="preserve"> Retrieved from http://www.cdc.gov</w:t>
      </w:r>
      <w:bookmarkEnd w:id="32"/>
    </w:p>
    <w:p w:rsidR="00DB6F41" w:rsidRDefault="00DB6F41" w:rsidP="00DB6F41">
      <w:pPr>
        <w:pStyle w:val="APAReference"/>
      </w:pPr>
      <w:bookmarkStart w:id="33" w:name="R409558010995370I0"/>
      <w:r>
        <w:t xml:space="preserve">Cherniak, E. P., Flores, H. J., &amp; Troen, B. R. (2011). </w:t>
      </w:r>
      <w:proofErr w:type="gramStart"/>
      <w:r w:rsidRPr="00547EB1">
        <w:rPr>
          <w:i/>
          <w:color w:val="FF0000"/>
        </w:rPr>
        <w:t>Emerging therapy to treat frailty syndrome in the elderly.</w:t>
      </w:r>
      <w:proofErr w:type="gramEnd"/>
      <w:r>
        <w:t xml:space="preserve"> Retrieved from http://www.findarticles.com/p/articles/mi_m0FDN/is_3_12/ai_n27421818/?tag=content;col1</w:t>
      </w:r>
      <w:bookmarkEnd w:id="33"/>
    </w:p>
    <w:p w:rsidR="00DB6F41" w:rsidRDefault="00DB6F41" w:rsidP="00DB6F41">
      <w:pPr>
        <w:pStyle w:val="APAReference"/>
      </w:pPr>
      <w:bookmarkStart w:id="34" w:name="R409557833101852I0"/>
      <w:r>
        <w:t xml:space="preserve">Espinoza, S. E., &amp; Fried, L. P. (2007, June 6). </w:t>
      </w:r>
      <w:proofErr w:type="gramStart"/>
      <w:r>
        <w:t>Risk factors for frailty in the older adult.</w:t>
      </w:r>
      <w:proofErr w:type="gramEnd"/>
      <w:r>
        <w:t xml:space="preserve"> </w:t>
      </w:r>
      <w:r>
        <w:rPr>
          <w:i/>
        </w:rPr>
        <w:t>Clinical Geriatrics</w:t>
      </w:r>
      <w:r>
        <w:t xml:space="preserve">, </w:t>
      </w:r>
      <w:r>
        <w:rPr>
          <w:i/>
        </w:rPr>
        <w:t>15</w:t>
      </w:r>
      <w:r>
        <w:t>(6), 37-44. Retrieved from http://www.imsersomayoresmayores.csic.es/documentos/boletin/2007/numero-52/art-07-07-01.pdf</w:t>
      </w:r>
      <w:bookmarkEnd w:id="34"/>
    </w:p>
    <w:p w:rsidR="00DB6F41" w:rsidRDefault="00DB6F41" w:rsidP="00DB6F41">
      <w:pPr>
        <w:pStyle w:val="APAReference"/>
      </w:pPr>
      <w:bookmarkStart w:id="35" w:name="R409553673495370I0"/>
      <w:proofErr w:type="gramStart"/>
      <w:r>
        <w:t xml:space="preserve">Hartford Institute for Geriatric </w:t>
      </w:r>
      <w:commentRangeStart w:id="36"/>
      <w:r>
        <w:t>Nursing</w:t>
      </w:r>
      <w:commentRangeEnd w:id="36"/>
      <w:r w:rsidR="00547EB1">
        <w:rPr>
          <w:rStyle w:val="CommentReference"/>
        </w:rPr>
        <w:commentReference w:id="36"/>
      </w:r>
      <w:r>
        <w:t>.</w:t>
      </w:r>
      <w:proofErr w:type="gramEnd"/>
      <w:r>
        <w:t xml:space="preserve"> </w:t>
      </w:r>
      <w:proofErr w:type="gramStart"/>
      <w:r>
        <w:t xml:space="preserve">(2007). </w:t>
      </w:r>
      <w:r w:rsidRPr="00547EB1">
        <w:rPr>
          <w:i/>
          <w:color w:val="FF0000"/>
        </w:rPr>
        <w:t>Frailty and its implications for care</w:t>
      </w:r>
      <w:r>
        <w:t>.</w:t>
      </w:r>
      <w:proofErr w:type="gramEnd"/>
      <w:r>
        <w:t xml:space="preserve"> Retrieved from http://www.consultgerirn.org</w:t>
      </w:r>
      <w:bookmarkEnd w:id="35"/>
    </w:p>
    <w:p w:rsidR="00DB6F41" w:rsidRDefault="00DB6F41" w:rsidP="00DB6F41">
      <w:pPr>
        <w:pStyle w:val="APAReference"/>
      </w:pPr>
      <w:bookmarkStart w:id="37" w:name="R409544842361111I0"/>
      <w:r>
        <w:t xml:space="preserve">Mauk, K. L. (2010). </w:t>
      </w:r>
      <w:proofErr w:type="gramStart"/>
      <w:r>
        <w:t xml:space="preserve">Promoting </w:t>
      </w:r>
      <w:proofErr w:type="spellStart"/>
      <w:r>
        <w:t>independance</w:t>
      </w:r>
      <w:proofErr w:type="spellEnd"/>
      <w:r>
        <w:t xml:space="preserve"> in later life.</w:t>
      </w:r>
      <w:proofErr w:type="gramEnd"/>
      <w:r>
        <w:t xml:space="preserve"> In </w:t>
      </w:r>
      <w:proofErr w:type="spellStart"/>
      <w:r>
        <w:rPr>
          <w:i/>
        </w:rPr>
        <w:t>Gerontological</w:t>
      </w:r>
      <w:proofErr w:type="spellEnd"/>
      <w:r>
        <w:rPr>
          <w:i/>
        </w:rPr>
        <w:t xml:space="preserve"> nursing:  Competencies for care</w:t>
      </w:r>
      <w:r>
        <w:t xml:space="preserve"> (2nd ed., pp. 300-325). Sudbury, MA: Jones and Bartlett.</w:t>
      </w:r>
      <w:bookmarkEnd w:id="37"/>
    </w:p>
    <w:p w:rsidR="00DB6F41" w:rsidRDefault="00DB6F41" w:rsidP="00DB6F41">
      <w:pPr>
        <w:pStyle w:val="APAReference"/>
      </w:pPr>
      <w:bookmarkStart w:id="38" w:name="R409544900115741I0"/>
      <w:proofErr w:type="gramStart"/>
      <w:r>
        <w:t>National Institute of Health.</w:t>
      </w:r>
      <w:proofErr w:type="gramEnd"/>
      <w:r>
        <w:t xml:space="preserve"> </w:t>
      </w:r>
      <w:proofErr w:type="gramStart"/>
      <w:r>
        <w:t xml:space="preserve">(2012). </w:t>
      </w:r>
      <w:r w:rsidRPr="00547EB1">
        <w:rPr>
          <w:i/>
          <w:color w:val="FF0000"/>
        </w:rPr>
        <w:t>Disabilities</w:t>
      </w:r>
      <w:r>
        <w:t>.</w:t>
      </w:r>
      <w:proofErr w:type="gramEnd"/>
      <w:r>
        <w:t xml:space="preserve"> Retrieved from http://www.nlm.nih.gov</w:t>
      </w:r>
      <w:bookmarkEnd w:id="38"/>
    </w:p>
    <w:p w:rsidR="006670C0" w:rsidRPr="00DB6F41" w:rsidRDefault="00DB6F41" w:rsidP="00DB6F41">
      <w:pPr>
        <w:pStyle w:val="APAReference"/>
      </w:pPr>
      <w:bookmarkStart w:id="39" w:name="R409558236111111I0"/>
      <w:commentRangeStart w:id="40"/>
      <w:proofErr w:type="gramStart"/>
      <w:r>
        <w:t>Universal design for healthcare facilities</w:t>
      </w:r>
      <w:commentRangeEnd w:id="40"/>
      <w:r w:rsidR="00547EB1">
        <w:rPr>
          <w:rStyle w:val="CommentReference"/>
        </w:rPr>
        <w:commentReference w:id="40"/>
      </w:r>
      <w:r>
        <w:t>.</w:t>
      </w:r>
      <w:proofErr w:type="gramEnd"/>
      <w:r>
        <w:t xml:space="preserve"> </w:t>
      </w:r>
      <w:proofErr w:type="gramStart"/>
      <w:r>
        <w:t>(2009, January).</w:t>
      </w:r>
      <w:proofErr w:type="gramEnd"/>
      <w:r>
        <w:t xml:space="preserve"> </w:t>
      </w:r>
      <w:r>
        <w:rPr>
          <w:i/>
        </w:rPr>
        <w:t>Environment of Care News</w:t>
      </w:r>
      <w:r>
        <w:t xml:space="preserve">, </w:t>
      </w:r>
      <w:r>
        <w:rPr>
          <w:i/>
        </w:rPr>
        <w:t>12</w:t>
      </w:r>
      <w:r>
        <w:t>(1), 8-11. Retrieved from http://thebarrierfreecareinitiative.org</w:t>
      </w:r>
      <w:bookmarkEnd w:id="39"/>
    </w:p>
    <w:sectPr w:rsidR="006670C0" w:rsidRPr="00DB6F41" w:rsidSect="00867A79">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Mary" w:date="2012-02-28T18:49:00Z" w:initials="M">
    <w:p w:rsidR="008B5C43" w:rsidRDefault="008B5C43">
      <w:pPr>
        <w:pStyle w:val="CommentText"/>
      </w:pPr>
      <w:r>
        <w:rPr>
          <w:rStyle w:val="CommentReference"/>
        </w:rPr>
        <w:annotationRef/>
      </w:r>
      <w:r>
        <w:t>There is an author and this is not it</w:t>
      </w:r>
    </w:p>
  </w:comment>
  <w:comment w:id="18" w:author="Mary" w:date="2012-02-28T18:59:00Z" w:initials="M">
    <w:p w:rsidR="00B92921" w:rsidRDefault="00B92921">
      <w:pPr>
        <w:pStyle w:val="CommentText"/>
      </w:pPr>
      <w:r>
        <w:rPr>
          <w:rStyle w:val="CommentReference"/>
        </w:rPr>
        <w:annotationRef/>
      </w:r>
      <w:r>
        <w:t>Need the author</w:t>
      </w:r>
    </w:p>
  </w:comment>
  <w:comment w:id="20" w:author="Mary" w:date="2012-02-28T18:59:00Z" w:initials="M">
    <w:p w:rsidR="00B92921" w:rsidRDefault="00B92921">
      <w:pPr>
        <w:pStyle w:val="CommentText"/>
      </w:pPr>
      <w:r>
        <w:rPr>
          <w:rStyle w:val="CommentReference"/>
        </w:rPr>
        <w:annotationRef/>
      </w:r>
      <w:r>
        <w:t>Same as above</w:t>
      </w:r>
    </w:p>
  </w:comment>
  <w:comment w:id="21" w:author="Mary" w:date="2012-02-28T19:02:00Z" w:initials="M">
    <w:p w:rsidR="00B92921" w:rsidRDefault="00B92921">
      <w:pPr>
        <w:pStyle w:val="CommentText"/>
      </w:pPr>
      <w:r>
        <w:rPr>
          <w:rStyle w:val="CommentReference"/>
        </w:rPr>
        <w:annotationRef/>
      </w:r>
      <w:r>
        <w:t xml:space="preserve">Leave a space in between word and cite </w:t>
      </w:r>
      <w:proofErr w:type="spellStart"/>
      <w:r>
        <w:t>whci</w:t>
      </w:r>
      <w:proofErr w:type="spellEnd"/>
      <w:r>
        <w:t xml:space="preserve"> goes for all the rest also</w:t>
      </w:r>
    </w:p>
  </w:comment>
  <w:comment w:id="30" w:author="Mary" w:date="2012-02-28T19:04:00Z" w:initials="M">
    <w:p w:rsidR="00B92921" w:rsidRDefault="00B92921">
      <w:pPr>
        <w:pStyle w:val="CommentText"/>
      </w:pPr>
      <w:r>
        <w:rPr>
          <w:rStyle w:val="CommentReference"/>
        </w:rPr>
        <w:annotationRef/>
      </w:r>
      <w:r>
        <w:t>Need the author</w:t>
      </w:r>
    </w:p>
  </w:comment>
  <w:comment w:id="36" w:author="Mary" w:date="2012-02-28T19:07:00Z" w:initials="M">
    <w:p w:rsidR="00547EB1" w:rsidRDefault="00547EB1">
      <w:pPr>
        <w:pStyle w:val="CommentText"/>
      </w:pPr>
      <w:r>
        <w:rPr>
          <w:rStyle w:val="CommentReference"/>
        </w:rPr>
        <w:annotationRef/>
      </w:r>
      <w:r>
        <w:t>This is not the author</w:t>
      </w:r>
    </w:p>
  </w:comment>
  <w:comment w:id="40" w:author="Mary" w:date="2012-02-28T19:07:00Z" w:initials="M">
    <w:p w:rsidR="00547EB1" w:rsidRDefault="00547EB1">
      <w:pPr>
        <w:pStyle w:val="CommentText"/>
      </w:pPr>
      <w:r>
        <w:rPr>
          <w:rStyle w:val="CommentReference"/>
        </w:rPr>
        <w:annotationRef/>
      </w:r>
      <w:r>
        <w:t>Ho was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7A8" w:rsidRDefault="009427A8">
      <w:r>
        <w:separator/>
      </w:r>
    </w:p>
  </w:endnote>
  <w:endnote w:type="continuationSeparator" w:id="0">
    <w:p w:rsidR="009427A8" w:rsidRDefault="00942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79" w:rsidRDefault="00867A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79" w:rsidRDefault="00867A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79" w:rsidRDefault="00867A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7A8" w:rsidRDefault="009427A8">
      <w:r>
        <w:separator/>
      </w:r>
    </w:p>
  </w:footnote>
  <w:footnote w:type="continuationSeparator" w:id="0">
    <w:p w:rsidR="009427A8" w:rsidRDefault="00942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79" w:rsidRDefault="00867A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79" w:rsidRPr="00867A79" w:rsidRDefault="00867A79" w:rsidP="00867A79">
    <w:pPr>
      <w:pStyle w:val="APAPageHeading"/>
    </w:pPr>
    <w:r>
      <w:t>FRAILTY CASE 5.2</w:t>
    </w:r>
    <w:r>
      <w:tab/>
    </w:r>
    <w:fldSimple w:instr=" PAGE  \* MERGEFORMAT ">
      <w:r w:rsidR="00547EB1">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79" w:rsidRPr="00867A79" w:rsidRDefault="00867A79" w:rsidP="00867A79">
    <w:pPr>
      <w:pStyle w:val="APAPageHeading"/>
    </w:pPr>
    <w:r>
      <w:t>Running head: FRAILTY CASE 5.2</w:t>
    </w:r>
    <w:r>
      <w:tab/>
    </w:r>
    <w:fldSimple w:instr=" PAGE  \* MERGEFORMAT ">
      <w:r w:rsidR="00547EB1">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79" w:rsidRPr="00867A79" w:rsidRDefault="00867A79" w:rsidP="00867A79">
    <w:pPr>
      <w:pStyle w:val="APAPageHeading"/>
    </w:pPr>
    <w:r>
      <w:t>FRAILTY CASE 5.2</w:t>
    </w:r>
    <w:r>
      <w:tab/>
    </w:r>
    <w:fldSimple w:instr=" PAGE  \* MERGEFORMAT ">
      <w:r w:rsidR="00547EB1">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cVars>
    <w:docVar w:name="409544842361111I0" w:val="*1,221˜11Kristen~L~Mauk~˜12032010˜14Promoting independance in later life˜21830˜17˜15Gerontological nursing:  Competencies for care˜2201˜1522nd˜2711˜241˜173˜171300˜172325˜1603˜21951˜21940˜110Sudbury, MA˜111Jones and Bartlett˜1449˜269˜1196˜1609˜"/>
    <w:docVar w:name="409544900115741I0" w:val="*1,370˜118National Institute of Health˜2881˜1233NIH˜2981˜122012˜13Disabilities˜2701˜1112˜112http://www.nlm.nih.gov˜"/>
    <w:docVar w:name="409553497106481I0" w:val="*1,370˜118Centesr for Disease Control˜2881˜1233CDC˜2981˜122011˜13Comorbidities˜2701˜1112˜112http://www.cdc.gov˜"/>
    <w:docVar w:name="409553645138889I0" w:val="*1,221˜11Donna~J~Bowles~˜12032011˜14Frailty˜21830˜17˜15Gerontology nursing case studies˜2200˜152˜2711˜241˜173˜17146˜17248˜1603˜21951˜21940˜110New York, NY˜111Springer˜1449˜269˜1196˜1609˜"/>
    <w:docVar w:name="409553673495370I0" w:val="*1,370˜118Hartford Institute for Geriatric Nursing˜2880˜1233˜2981˜122007˜13Frailty and its implications for care˜2701˜1112˜112http://www.consultgerirn.org˜"/>
    <w:docVar w:name="409557833101852I0" w:val="*1,60˜11Sara~E~Espinoza~Linda~P~Fried~˜12032007˜2331˜1241June 6˜13Risk factors for frailty in the older adult˜16Clinical Geriatrics˜2681˜18615˜211˜1816˜2711˜116337-44˜21751˜2690˜1196˜1141http://www.imsersomayoresmayores.csic.es/documentos/boletin/2007/numero-52/art-07-07-01.pdf˜"/>
    <w:docVar w:name="409558010995370I0" w:val="*1,262˜11E~Paul~Cherniak~Hermes~J~Flores~Bruce~R~Troen~˜2981˜122011˜13Emerging therapy to treat frailty syndrome in the elderly˜2701˜1112˜112http://www.findarticles.com/p/articles/mi_m0FDN/is_3_12/ai_n27421818/?tag=content;col1˜"/>
    <w:docVar w:name="409558236111111I0" w:val="*1,217˜13Universal design for healthcare facilities˜1234Universal design˜12032009˜2331˜1241January 2009˜16Environment of Care News˜2681˜18612˜211˜1811˜2711˜11638-11˜21751˜2690˜1196˜1141http://thebarrierfreecareinitiative.org˜"/>
    <w:docVar w:name="bmHeaderInfo" w:val="FRAILTY CASE 5.2"/>
    <w:docVar w:name="cIsAbstract" w:val="False"/>
    <w:docVar w:name="cPaperAPAOrMLA" w:val="1"/>
    <w:docVar w:name="cUniquePaperID" w:val="409544815856482I0"/>
    <w:docVar w:name="LastEditedVersion" w:val="5"/>
  </w:docVars>
  <w:rsids>
    <w:rsidRoot w:val="009E3B5F"/>
    <w:rsid w:val="000022DA"/>
    <w:rsid w:val="00003776"/>
    <w:rsid w:val="00004A0E"/>
    <w:rsid w:val="0000704A"/>
    <w:rsid w:val="0000750F"/>
    <w:rsid w:val="000100C0"/>
    <w:rsid w:val="00011136"/>
    <w:rsid w:val="00011189"/>
    <w:rsid w:val="0001296A"/>
    <w:rsid w:val="00013627"/>
    <w:rsid w:val="00014CB5"/>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3440"/>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C7F17"/>
    <w:rsid w:val="001D00DC"/>
    <w:rsid w:val="001D0ECC"/>
    <w:rsid w:val="001D2A28"/>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3682"/>
    <w:rsid w:val="00285FE5"/>
    <w:rsid w:val="00286847"/>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5BA"/>
    <w:rsid w:val="002C613E"/>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866"/>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4D65"/>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47EB1"/>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54F5"/>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35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670C0"/>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1C3"/>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75A7"/>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165"/>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A79"/>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5C43"/>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E7D91"/>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27A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5470"/>
    <w:rsid w:val="00967E77"/>
    <w:rsid w:val="00970C79"/>
    <w:rsid w:val="009712EB"/>
    <w:rsid w:val="0097213F"/>
    <w:rsid w:val="00972B82"/>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470"/>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5F"/>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23A"/>
    <w:rsid w:val="00B809A8"/>
    <w:rsid w:val="00B8234A"/>
    <w:rsid w:val="00B826A9"/>
    <w:rsid w:val="00B82830"/>
    <w:rsid w:val="00B82A0A"/>
    <w:rsid w:val="00B82D0E"/>
    <w:rsid w:val="00B8609B"/>
    <w:rsid w:val="00B86F27"/>
    <w:rsid w:val="00B92921"/>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5945"/>
    <w:rsid w:val="00BE6791"/>
    <w:rsid w:val="00BE7727"/>
    <w:rsid w:val="00BE7A90"/>
    <w:rsid w:val="00BF26B1"/>
    <w:rsid w:val="00BF2C52"/>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4907"/>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2EB7"/>
    <w:rsid w:val="00CF4BEE"/>
    <w:rsid w:val="00CF6F76"/>
    <w:rsid w:val="00CF7C81"/>
    <w:rsid w:val="00D005AB"/>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36AC"/>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358"/>
    <w:rsid w:val="00D967A3"/>
    <w:rsid w:val="00DA26BF"/>
    <w:rsid w:val="00DA2C59"/>
    <w:rsid w:val="00DA3BC3"/>
    <w:rsid w:val="00DA49E0"/>
    <w:rsid w:val="00DA5739"/>
    <w:rsid w:val="00DB4050"/>
    <w:rsid w:val="00DB6F41"/>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599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7F1"/>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67F0D"/>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1581"/>
    <w:rsid w:val="00F1275B"/>
    <w:rsid w:val="00F12C44"/>
    <w:rsid w:val="00F12CE2"/>
    <w:rsid w:val="00F1303A"/>
    <w:rsid w:val="00F16647"/>
    <w:rsid w:val="00F1793D"/>
    <w:rsid w:val="00F179C0"/>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370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9F3"/>
    <w:rsid w:val="00FB4C31"/>
    <w:rsid w:val="00FB4E43"/>
    <w:rsid w:val="00FB54A4"/>
    <w:rsid w:val="00FB5641"/>
    <w:rsid w:val="00FB61EE"/>
    <w:rsid w:val="00FB6206"/>
    <w:rsid w:val="00FB7F23"/>
    <w:rsid w:val="00FC217F"/>
    <w:rsid w:val="00FC2F47"/>
    <w:rsid w:val="00FC34B8"/>
    <w:rsid w:val="00FC3777"/>
    <w:rsid w:val="00FC3859"/>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D9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D91"/>
    <w:pPr>
      <w:tabs>
        <w:tab w:val="center" w:pos="4320"/>
        <w:tab w:val="right" w:pos="8640"/>
      </w:tabs>
    </w:pPr>
  </w:style>
  <w:style w:type="paragraph" w:customStyle="1" w:styleId="APA">
    <w:name w:val="APA"/>
    <w:basedOn w:val="BodyText"/>
    <w:rsid w:val="008E7D91"/>
    <w:pPr>
      <w:spacing w:after="0" w:line="480" w:lineRule="auto"/>
      <w:ind w:firstLine="720"/>
    </w:pPr>
    <w:rPr>
      <w:sz w:val="24"/>
    </w:rPr>
  </w:style>
  <w:style w:type="paragraph" w:styleId="BodyText">
    <w:name w:val="Body Text"/>
    <w:basedOn w:val="Normal"/>
    <w:rsid w:val="008E7D91"/>
    <w:pPr>
      <w:spacing w:after="120"/>
    </w:pPr>
  </w:style>
  <w:style w:type="paragraph" w:styleId="Footer">
    <w:name w:val="footer"/>
    <w:basedOn w:val="Normal"/>
    <w:rsid w:val="008E7D91"/>
    <w:pPr>
      <w:tabs>
        <w:tab w:val="center" w:pos="4320"/>
        <w:tab w:val="right" w:pos="8640"/>
      </w:tabs>
    </w:pPr>
  </w:style>
  <w:style w:type="character" w:styleId="PageNumber">
    <w:name w:val="page number"/>
    <w:basedOn w:val="DefaultParagraphFont"/>
    <w:rsid w:val="008E7D91"/>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8E7D91"/>
    <w:pPr>
      <w:ind w:left="720" w:firstLine="0"/>
    </w:pPr>
  </w:style>
  <w:style w:type="paragraph" w:customStyle="1" w:styleId="APABlockQuoteSubsequentPara">
    <w:name w:val="APA Block Quote Subsequent Para"/>
    <w:basedOn w:val="APA"/>
    <w:next w:val="APA"/>
    <w:rsid w:val="008E7D91"/>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8E7D91"/>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8E7D91"/>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8B5C43"/>
    <w:rPr>
      <w:sz w:val="16"/>
      <w:szCs w:val="16"/>
    </w:rPr>
  </w:style>
  <w:style w:type="paragraph" w:styleId="CommentText">
    <w:name w:val="annotation text"/>
    <w:basedOn w:val="Normal"/>
    <w:link w:val="CommentTextChar"/>
    <w:rsid w:val="008B5C43"/>
  </w:style>
  <w:style w:type="character" w:customStyle="1" w:styleId="CommentTextChar">
    <w:name w:val="Comment Text Char"/>
    <w:basedOn w:val="DefaultParagraphFont"/>
    <w:link w:val="CommentText"/>
    <w:rsid w:val="008B5C43"/>
  </w:style>
  <w:style w:type="paragraph" w:styleId="CommentSubject">
    <w:name w:val="annotation subject"/>
    <w:basedOn w:val="CommentText"/>
    <w:next w:val="CommentText"/>
    <w:link w:val="CommentSubjectChar"/>
    <w:rsid w:val="008B5C43"/>
    <w:rPr>
      <w:b/>
      <w:bCs/>
    </w:rPr>
  </w:style>
  <w:style w:type="character" w:customStyle="1" w:styleId="CommentSubjectChar">
    <w:name w:val="Comment Subject Char"/>
    <w:basedOn w:val="CommentTextChar"/>
    <w:link w:val="CommentSubject"/>
    <w:rsid w:val="008B5C43"/>
    <w:rPr>
      <w:b/>
      <w:bCs/>
    </w:rPr>
  </w:style>
  <w:style w:type="paragraph" w:styleId="BalloonText">
    <w:name w:val="Balloon Text"/>
    <w:basedOn w:val="Normal"/>
    <w:link w:val="BalloonTextChar"/>
    <w:rsid w:val="008B5C43"/>
    <w:rPr>
      <w:rFonts w:ascii="Tahoma" w:hAnsi="Tahoma" w:cs="Tahoma"/>
      <w:sz w:val="16"/>
      <w:szCs w:val="16"/>
    </w:rPr>
  </w:style>
  <w:style w:type="character" w:customStyle="1" w:styleId="BalloonTextChar">
    <w:name w:val="Balloon Text Char"/>
    <w:basedOn w:val="DefaultParagraphFont"/>
    <w:link w:val="BalloonText"/>
    <w:rsid w:val="008B5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TotalTime>
  <Pages>5</Pages>
  <Words>843</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Frailty Case 5.2</vt:lpstr>
    </vt:vector>
  </TitlesOfParts>
  <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Frailty Case 5.2</dc:title>
  <dc:subject>Copyright</dc:subject>
  <dc:creator>Natalie Thomas</dc:creator>
  <cp:lastModifiedBy>Mary</cp:lastModifiedBy>
  <cp:revision>2</cp:revision>
  <dcterms:created xsi:type="dcterms:W3CDTF">2012-02-29T01:09:00Z</dcterms:created>
  <dcterms:modified xsi:type="dcterms:W3CDTF">2012-02-29T01:09:00Z</dcterms:modified>
</cp:coreProperties>
</file>