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Pr="00A5697D" w:rsidRDefault="00A5697D" w:rsidP="00557B10">
      <w:pPr>
        <w:pStyle w:val="APA"/>
        <w:rPr>
          <w:color w:val="FF0000"/>
        </w:rPr>
      </w:pPr>
      <w:r w:rsidRPr="00A5697D">
        <w:rPr>
          <w:color w:val="FF0000"/>
        </w:rPr>
        <w:t>15/</w:t>
      </w:r>
      <w:proofErr w:type="gramStart"/>
      <w:r w:rsidRPr="00A5697D">
        <w:rPr>
          <w:color w:val="FF0000"/>
        </w:rPr>
        <w:t>15  Good</w:t>
      </w:r>
      <w:proofErr w:type="gramEnd"/>
      <w:r w:rsidRPr="00A5697D">
        <w:rPr>
          <w:color w:val="FF0000"/>
        </w:rPr>
        <w:t xml:space="preserve"> Job</w:t>
      </w: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HeadingCenter"/>
      </w:pPr>
      <w:bookmarkStart w:id="0" w:name="bmTitlePageTitle"/>
      <w:r>
        <w:t>Case Study 11.4, Assignment 3</w:t>
      </w:r>
      <w:bookmarkEnd w:id="0"/>
    </w:p>
    <w:p w:rsidR="00557B10" w:rsidRDefault="00557B10" w:rsidP="00557B10">
      <w:pPr>
        <w:pStyle w:val="APAHeadingCenter"/>
      </w:pPr>
      <w:bookmarkStart w:id="1" w:name="bmTitlePageName"/>
      <w:r>
        <w:t>Natalie Thomas</w:t>
      </w:r>
      <w:bookmarkEnd w:id="1"/>
    </w:p>
    <w:p w:rsidR="00557B10" w:rsidRDefault="00557B10" w:rsidP="00557B10">
      <w:pPr>
        <w:pStyle w:val="APAHeadingCenter"/>
      </w:pPr>
      <w:bookmarkStart w:id="2" w:name="bmTitlePageInst"/>
      <w:r>
        <w:t>Lakeview College of Nursing</w:t>
      </w:r>
      <w:bookmarkEnd w:id="2"/>
    </w:p>
    <w:p w:rsidR="00557B10" w:rsidRDefault="00557B10" w:rsidP="00557B10">
      <w:pPr>
        <w:pStyle w:val="APAHeadingCenter"/>
      </w:pPr>
      <w:bookmarkStart w:id="3" w:name="bmTitleAdd1"/>
      <w:bookmarkEnd w:id="3"/>
    </w:p>
    <w:p w:rsidR="00557B10" w:rsidRDefault="00557B10" w:rsidP="00557B10">
      <w:pPr>
        <w:pStyle w:val="APAHeadingCenter"/>
      </w:pPr>
      <w:bookmarkStart w:id="4" w:name="bmTitleAdd2"/>
      <w:bookmarkEnd w:id="4"/>
    </w:p>
    <w:p w:rsidR="00557B10" w:rsidRDefault="00557B10" w:rsidP="00557B10">
      <w:pPr>
        <w:pStyle w:val="APAHeadingCenter"/>
      </w:pPr>
      <w:bookmarkStart w:id="5" w:name="bmTitleAdd3"/>
      <w:bookmarkEnd w:id="5"/>
    </w:p>
    <w:p w:rsidR="00557B10" w:rsidRDefault="00557B10" w:rsidP="00557B10">
      <w:pPr>
        <w:pStyle w:val="APAHeadingCenter"/>
      </w:pPr>
      <w:bookmarkStart w:id="6" w:name="bmTitleAdd4"/>
      <w:bookmarkEnd w:id="6"/>
    </w:p>
    <w:p w:rsidR="00557B10" w:rsidRDefault="00557B10" w:rsidP="00557B10">
      <w:pPr>
        <w:pStyle w:val="APA"/>
        <w:sectPr w:rsidR="00557B10" w:rsidSect="00557B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57B10" w:rsidRDefault="00557B10" w:rsidP="00557B10">
      <w:pPr>
        <w:pStyle w:val="APA"/>
        <w:sectPr w:rsidR="00557B10" w:rsidSect="00557B10"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57B10" w:rsidRDefault="00557B10" w:rsidP="00557B10">
      <w:pPr>
        <w:pStyle w:val="APAHeadingCenter"/>
      </w:pPr>
      <w:bookmarkStart w:id="7" w:name="bmFirstPageTitle"/>
      <w:r>
        <w:lastRenderedPageBreak/>
        <w:t>Case Study 11.4, Assignment 3</w:t>
      </w:r>
      <w:bookmarkEnd w:id="7"/>
    </w:p>
    <w:p w:rsidR="001B43C3" w:rsidRDefault="00114497" w:rsidP="001B43C3">
      <w:pPr>
        <w:pStyle w:val="APA"/>
      </w:pPr>
      <w:r>
        <w:t xml:space="preserve">1.  </w:t>
      </w:r>
      <w:r w:rsidR="001B43C3">
        <w:t xml:space="preserve">Gordon could potentially have several side effects from the Simvastatin that he is taking.  </w:t>
      </w:r>
      <w:r w:rsidR="00E204A6">
        <w:t>Side effects of Simvastatin include “headache, nausea, constipation, diarrhea, dyspepsia, flatus, abdominal pain, liver dysfunction, pancreatitis, muscle cramps, myositis, rhabdomyolysis, myopathy, and up</w:t>
      </w:r>
      <w:bookmarkStart w:id="8" w:name="C408017187384259I0T409348296180556"/>
      <w:r w:rsidR="00C24682">
        <w:t>per respiratory tract infection”</w:t>
      </w:r>
      <w:r w:rsidR="00E204A6">
        <w:t>(</w:t>
      </w:r>
      <w:r w:rsidR="00E204A6">
        <w:rPr>
          <w:i/>
        </w:rPr>
        <w:t>Mosby’s 2012 Nursing Drug Reference</w:t>
      </w:r>
      <w:r w:rsidR="00E204A6">
        <w:t>, 2012, p. 1048)</w:t>
      </w:r>
      <w:bookmarkEnd w:id="8"/>
      <w:r w:rsidR="00C24682">
        <w:t>.</w:t>
      </w:r>
      <w:r w:rsidR="00E204A6">
        <w:t xml:space="preserve">  It would make sense that myositis, rhabdomyolysis, and myopathy could all potentially be the cause of Gordon’s calf pain.  </w:t>
      </w:r>
      <w:r w:rsidR="001A7D29">
        <w:t>However, peripheral vascular disease could also be the etiology behind the leg pain as well.</w:t>
      </w:r>
    </w:p>
    <w:p w:rsidR="001A7D29" w:rsidRDefault="00114497" w:rsidP="001B43C3">
      <w:pPr>
        <w:pStyle w:val="APA"/>
      </w:pPr>
      <w:r>
        <w:t xml:space="preserve">2.  </w:t>
      </w:r>
      <w:r w:rsidR="00EB46DF">
        <w:t xml:space="preserve">Intermittent </w:t>
      </w:r>
      <w:proofErr w:type="spellStart"/>
      <w:r w:rsidR="00EB46DF">
        <w:t>claudication</w:t>
      </w:r>
      <w:proofErr w:type="spellEnd"/>
      <w:r w:rsidR="00EB46DF">
        <w:t xml:space="preserve"> is a hallmark symptom of peripheral vascular disease.  It causes pain in the calf, particularly</w:t>
      </w:r>
      <w:bookmarkStart w:id="9" w:name="C409348533912037I0T409348546759259"/>
      <w:r w:rsidR="00410F76">
        <w:t xml:space="preserve"> while performing cardiovascular exercise</w:t>
      </w:r>
      <w:r w:rsidR="00EB46DF">
        <w:t>(University of Maryland Medical Center, 2011)</w:t>
      </w:r>
      <w:bookmarkEnd w:id="9"/>
      <w:r w:rsidR="008C1763">
        <w:t>.  This pain is only symptomatic when exercising; and, it ceases when resting</w:t>
      </w:r>
      <w:bookmarkStart w:id="10" w:name="C409348533912037I0T409348591435185"/>
      <w:r w:rsidR="008C1763">
        <w:t>(University of Maryland Medical Center, 2011)</w:t>
      </w:r>
      <w:bookmarkEnd w:id="10"/>
      <w:r w:rsidR="008C1763">
        <w:t>.</w:t>
      </w:r>
    </w:p>
    <w:p w:rsidR="001D613C" w:rsidRDefault="00114497" w:rsidP="001D613C">
      <w:pPr>
        <w:pStyle w:val="APA"/>
      </w:pPr>
      <w:r>
        <w:t xml:space="preserve">3.  </w:t>
      </w:r>
      <w:r w:rsidR="00C113BD">
        <w:t xml:space="preserve">Gordon </w:t>
      </w:r>
      <w:r w:rsidR="001D613C">
        <w:t>has several risk factors that put him at risk for peripheral vascular disease.  These risk factors are smoking, high cholesterol, sixty seven years old</w:t>
      </w:r>
      <w:r w:rsidR="00C113BD">
        <w:t xml:space="preserve">. </w:t>
      </w:r>
      <w:r w:rsidR="001D613C">
        <w:t xml:space="preserve">  Mayo clinic suggests other risk factors as well.  These include diabetes, high blood pressure, family history, and a surplus of homocysteine</w:t>
      </w:r>
      <w:bookmarkStart w:id="11" w:name="C409348667361111I0T409348676504630"/>
      <w:r w:rsidR="001D613C">
        <w:t>(Mayo Clinic Staff, 2011)</w:t>
      </w:r>
      <w:bookmarkEnd w:id="11"/>
      <w:r w:rsidR="001D613C">
        <w:t xml:space="preserve"> </w:t>
      </w:r>
      <w:r w:rsidR="00C113BD">
        <w:t xml:space="preserve"> </w:t>
      </w:r>
    </w:p>
    <w:p w:rsidR="00463EBC" w:rsidRDefault="00114497" w:rsidP="00211D31">
      <w:pPr>
        <w:pStyle w:val="APA"/>
      </w:pPr>
      <w:r>
        <w:t xml:space="preserve">4.  </w:t>
      </w:r>
      <w:r w:rsidR="00F977E0">
        <w:t>Peripheral vascular disease is</w:t>
      </w:r>
      <w:r w:rsidR="00211D31">
        <w:t xml:space="preserve"> comparable in nature to coronary artery disease because it is </w:t>
      </w:r>
      <w:r w:rsidR="00F977E0">
        <w:t xml:space="preserve">caused by </w:t>
      </w:r>
      <w:proofErr w:type="gramStart"/>
      <w:r w:rsidR="00F977E0">
        <w:t>atheroscleros</w:t>
      </w:r>
      <w:r w:rsidR="00211D31">
        <w:t>is</w:t>
      </w:r>
      <w:bookmarkStart w:id="12" w:name="C409349008101852I0T409349039814815"/>
      <w:r w:rsidR="00211D31">
        <w:t>(</w:t>
      </w:r>
      <w:proofErr w:type="gramEnd"/>
      <w:r w:rsidR="00211D31">
        <w:t>Bartholomew &amp; Olin, 2012)</w:t>
      </w:r>
      <w:bookmarkEnd w:id="12"/>
      <w:r w:rsidR="00F977E0">
        <w:t>.</w:t>
      </w:r>
      <w:r w:rsidR="00165BFC">
        <w:t xml:space="preserve"> Howe</w:t>
      </w:r>
      <w:r w:rsidR="00463EBC">
        <w:t xml:space="preserve">ver, it occurs in the periphery and </w:t>
      </w:r>
      <w:r w:rsidR="00165BFC">
        <w:t xml:space="preserve"> particularly in the legs and feet</w:t>
      </w:r>
      <w:bookmarkStart w:id="13" w:name="C409349160300926I0T409349178587963"/>
      <w:r w:rsidR="00165BFC">
        <w:t>(McCance &amp; Heuther, 2010)</w:t>
      </w:r>
      <w:bookmarkEnd w:id="13"/>
      <w:r w:rsidR="00463EBC">
        <w:t>.</w:t>
      </w:r>
    </w:p>
    <w:p w:rsidR="003C4C52" w:rsidRDefault="00114497" w:rsidP="00211D31">
      <w:pPr>
        <w:pStyle w:val="APA"/>
      </w:pPr>
      <w:r>
        <w:t xml:space="preserve">5.  </w:t>
      </w:r>
      <w:r w:rsidR="007C06B1">
        <w:t>Bruits are vascular sounds that indicate and abnormal finding.  When they</w:t>
      </w:r>
      <w:r w:rsidR="007F6163">
        <w:t xml:space="preserve"> are auscultated, the</w:t>
      </w:r>
      <w:r w:rsidR="007C06B1">
        <w:t>y are heard as a swishing sound</w:t>
      </w:r>
      <w:bookmarkStart w:id="14" w:name="C409356061111111I0T409356074305556"/>
      <w:r w:rsidR="007C06B1">
        <w:t>(Jarvis, 2008)</w:t>
      </w:r>
      <w:bookmarkEnd w:id="14"/>
      <w:r w:rsidR="00C96CC9">
        <w:t xml:space="preserve">  They are an abnormal sound; and, they are indicative of a constricted artery that causes turbulent blood flow</w:t>
      </w:r>
      <w:bookmarkStart w:id="15" w:name="C409356061111111I0T409356072916667"/>
      <w:r w:rsidR="007C06B1">
        <w:t>(Jarvis, 2008)</w:t>
      </w:r>
      <w:bookmarkEnd w:id="15"/>
      <w:r w:rsidR="007C06B1">
        <w:t xml:space="preserve">. </w:t>
      </w:r>
    </w:p>
    <w:p w:rsidR="00C73968" w:rsidRDefault="00114497" w:rsidP="00211D31">
      <w:pPr>
        <w:pStyle w:val="APA"/>
      </w:pPr>
      <w:r>
        <w:lastRenderedPageBreak/>
        <w:t xml:space="preserve">6.  </w:t>
      </w:r>
      <w:r w:rsidR="003C4C52">
        <w:t>The ankle brachial index is a screening tool to assess for the presence of</w:t>
      </w:r>
      <w:r w:rsidR="007C06B1">
        <w:t xml:space="preserve"> </w:t>
      </w:r>
      <w:r w:rsidR="00D44D40">
        <w:t xml:space="preserve">vascular disease in individuals who are over the age of </w:t>
      </w:r>
      <w:proofErr w:type="gramStart"/>
      <w:r w:rsidR="00D44D40">
        <w:t>forty</w:t>
      </w:r>
      <w:bookmarkStart w:id="16" w:name="C409356183449074I0T409356243055556"/>
      <w:r w:rsidR="00D44D40">
        <w:t>(</w:t>
      </w:r>
      <w:proofErr w:type="gramEnd"/>
      <w:r w:rsidR="00D44D40">
        <w:t>Coke, 2010)</w:t>
      </w:r>
      <w:bookmarkEnd w:id="16"/>
      <w:r w:rsidR="00F61854">
        <w:t xml:space="preserve">  </w:t>
      </w:r>
      <w:r w:rsidR="008F0361">
        <w:t xml:space="preserve">  This</w:t>
      </w:r>
      <w:r w:rsidR="00F61854">
        <w:t xml:space="preserve"> ankle brachial index</w:t>
      </w:r>
      <w:r w:rsidR="008F0361">
        <w:t xml:space="preserve"> can be helpful during an assessment because it</w:t>
      </w:r>
      <w:r w:rsidR="00F61854">
        <w:t xml:space="preserve"> serves as both a screening tool and a preventative measure</w:t>
      </w:r>
      <w:bookmarkStart w:id="17" w:name="C409356183449074I0T409356253587963"/>
      <w:r w:rsidR="00F61854">
        <w:t>(Coke, 2010)</w:t>
      </w:r>
      <w:bookmarkEnd w:id="17"/>
      <w:r w:rsidR="00F61854">
        <w:t xml:space="preserve">.  The systolic blood pressure is taken in both the arm and </w:t>
      </w:r>
      <w:r w:rsidR="00534584">
        <w:t>the ankle; and, the ratio of the two is calculated</w:t>
      </w:r>
      <w:bookmarkStart w:id="18" w:name="C409356183449074I0T409356301157407"/>
      <w:r w:rsidR="00534584">
        <w:t>(Coke, 2010)</w:t>
      </w:r>
      <w:bookmarkEnd w:id="18"/>
      <w:r w:rsidR="00534584">
        <w:t>.  Any ratio below ninety is indicative of an occluded artery</w:t>
      </w:r>
      <w:bookmarkStart w:id="19" w:name="C409356183449074I0T409356306134259"/>
      <w:r w:rsidR="00534584">
        <w:t>(Coke, 2010)</w:t>
      </w:r>
      <w:bookmarkEnd w:id="19"/>
    </w:p>
    <w:p w:rsidR="008820DB" w:rsidRDefault="00114497" w:rsidP="00211D31">
      <w:pPr>
        <w:pStyle w:val="APA"/>
      </w:pPr>
      <w:r>
        <w:t xml:space="preserve">7.  </w:t>
      </w:r>
      <w:r w:rsidR="00C73968">
        <w:t xml:space="preserve">I would recommend that Gordon make modifiable lifestyle changes.  Gordon’s blood pressure could be a contributing factor.  I would recommend that Gordon implement a low salt diet and exercise.  I would also help Gordon with a smoking cessation plan.  </w:t>
      </w:r>
    </w:p>
    <w:p w:rsidR="00C73968" w:rsidRDefault="00114497" w:rsidP="00211D31">
      <w:pPr>
        <w:pStyle w:val="APA"/>
      </w:pPr>
      <w:r>
        <w:t xml:space="preserve">8.  </w:t>
      </w:r>
      <w:r w:rsidR="00C73968">
        <w:t xml:space="preserve"> If Gordon felt that he needed pharmacologic aides with smoking cessation; I would suggest that he see his primary health care provide</w:t>
      </w:r>
      <w:r w:rsidR="00962A22">
        <w:t>r regarding medication.  The National Cancer Institute has suggested nicotine replacements, Chantix, Zyban, Fluoxetine, and Bantron as agents that have shown to be effective with smoking cessation</w:t>
      </w:r>
      <w:bookmarkStart w:id="20" w:name="C409356659606481I0T409356671412037"/>
      <w:r w:rsidR="00962A22">
        <w:t>(National Cancer Institute, 2011)</w:t>
      </w:r>
      <w:bookmarkEnd w:id="20"/>
      <w:r w:rsidR="00962A22">
        <w:t>.</w:t>
      </w:r>
      <w:r w:rsidR="008820DB">
        <w:t xml:space="preserve">  In addition, Gordon could benefit from blood pressure medication.  Pharmacologic treatments for blood pressure include diuretics, ace inhibitors, beta blockers, calcium channel blockers, rennin </w:t>
      </w:r>
      <w:bookmarkStart w:id="21" w:name="C409356694907407I0T409356701504630"/>
      <w:r w:rsidR="008820DB">
        <w:t>inhibitors(Mayo Clinic, 2011)</w:t>
      </w:r>
      <w:bookmarkEnd w:id="21"/>
      <w:r w:rsidR="008820DB">
        <w:t>.</w:t>
      </w:r>
      <w:r w:rsidR="002C5B75">
        <w:t xml:space="preserve">  </w:t>
      </w:r>
      <w:r w:rsidR="00771E10">
        <w:t>Another medication that may benefit Gordon is an anti</w:t>
      </w:r>
      <w:r w:rsidR="00C816F8">
        <w:t>-</w:t>
      </w:r>
      <w:r w:rsidR="00771E10">
        <w:t>platelet to prevent clot formation.</w:t>
      </w:r>
    </w:p>
    <w:p w:rsidR="00C816F8" w:rsidRPr="00C816F8" w:rsidRDefault="000D312D" w:rsidP="00C816F8">
      <w:pPr>
        <w:overflowPunct/>
        <w:autoSpaceDE/>
        <w:autoSpaceDN/>
        <w:adjustRightInd/>
        <w:spacing w:line="480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 w:rsidR="00114497">
        <w:rPr>
          <w:sz w:val="24"/>
          <w:szCs w:val="24"/>
        </w:rPr>
        <w:t xml:space="preserve">9.  </w:t>
      </w:r>
      <w:r w:rsidR="00C816F8" w:rsidRPr="00C816F8">
        <w:rPr>
          <w:sz w:val="24"/>
          <w:szCs w:val="24"/>
        </w:rPr>
        <w:t xml:space="preserve">New signs and symptoms of peripheral vascular disease would indicate a decline in health and disease progression in Gordon.  These signs include changes in skin color, weak pulse, temperature differences between legs, insufficient hair and nail growth on lower </w:t>
      </w:r>
      <w:r w:rsidR="00E204A6" w:rsidRPr="00C816F8">
        <w:rPr>
          <w:sz w:val="24"/>
          <w:szCs w:val="24"/>
        </w:rPr>
        <w:t>extremities</w:t>
      </w:r>
      <w:r w:rsidR="00C816F8" w:rsidRPr="00C816F8">
        <w:rPr>
          <w:sz w:val="24"/>
          <w:szCs w:val="24"/>
        </w:rPr>
        <w:t xml:space="preserve">, </w:t>
      </w:r>
      <w:r w:rsidR="00E204A6">
        <w:rPr>
          <w:sz w:val="24"/>
          <w:szCs w:val="24"/>
        </w:rPr>
        <w:t>and</w:t>
      </w:r>
      <w:r w:rsidR="00E204A6" w:rsidRPr="00C816F8">
        <w:rPr>
          <w:sz w:val="24"/>
          <w:szCs w:val="24"/>
        </w:rPr>
        <w:t xml:space="preserve"> erectile</w:t>
      </w:r>
      <w:r w:rsidR="00C816F8" w:rsidRPr="00C816F8">
        <w:rPr>
          <w:sz w:val="24"/>
          <w:szCs w:val="24"/>
        </w:rPr>
        <w:t xml:space="preserve"> dysfunction</w:t>
      </w:r>
      <w:bookmarkStart w:id="22" w:name="C409356807407407I0T409356817824074"/>
      <w:r w:rsidR="00C816F8" w:rsidRPr="00C816F8">
        <w:rPr>
          <w:sz w:val="24"/>
          <w:szCs w:val="24"/>
        </w:rPr>
        <w:t>(National Heart Lung and Blood Institute, 2011)</w:t>
      </w:r>
      <w:bookmarkEnd w:id="22"/>
      <w:r w:rsidR="00C24682">
        <w:rPr>
          <w:sz w:val="24"/>
          <w:szCs w:val="24"/>
        </w:rPr>
        <w:t>.</w:t>
      </w:r>
      <w:r w:rsidR="008820DB" w:rsidRPr="00C816F8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6F8" w:rsidRPr="00C816F8">
        <w:rPr>
          <w:sz w:val="24"/>
          <w:szCs w:val="24"/>
        </w:rPr>
        <w:t>References</w:t>
      </w:r>
    </w:p>
    <w:p w:rsidR="00C816F8" w:rsidRDefault="00C816F8" w:rsidP="00C816F8">
      <w:pPr>
        <w:pStyle w:val="APAReference"/>
      </w:pPr>
      <w:bookmarkStart w:id="23" w:name="R409349008101852I0"/>
      <w:r>
        <w:t xml:space="preserve">Bartholomew, J. R., &amp; Olin, J. W. (2012). Pathophysiology of peripheral arterial disease and risk factors for its development. </w:t>
      </w:r>
      <w:r>
        <w:rPr>
          <w:i/>
        </w:rPr>
        <w:t>Cleveland Clinic Journal of Medicine</w:t>
      </w:r>
      <w:r>
        <w:t xml:space="preserve">, </w:t>
      </w:r>
      <w:r>
        <w:rPr>
          <w:i/>
        </w:rPr>
        <w:t>73</w:t>
      </w:r>
      <w:r>
        <w:t>(), S8-S14. doi: 10.3949/ccjm.73.Supple_4.S8</w:t>
      </w:r>
      <w:bookmarkEnd w:id="23"/>
    </w:p>
    <w:p w:rsidR="00C816F8" w:rsidRDefault="00C816F8" w:rsidP="00C816F8">
      <w:pPr>
        <w:pStyle w:val="APAReference"/>
      </w:pPr>
      <w:bookmarkStart w:id="24" w:name="R409356183449074I0"/>
      <w:r>
        <w:t xml:space="preserve">Coke, L. A. (2010). </w:t>
      </w:r>
      <w:r>
        <w:rPr>
          <w:i/>
        </w:rPr>
        <w:t xml:space="preserve">Vascular risk assessment of the older cardiovascular patient:  The ankle brachial index </w:t>
      </w:r>
      <w:r>
        <w:t xml:space="preserve"> (Specialty Practice Series Issue Number SP4). Retrieved from Hartford Institute for Geriatric Nursing website: http://www.consultgerirn.org</w:t>
      </w:r>
      <w:bookmarkEnd w:id="24"/>
    </w:p>
    <w:p w:rsidR="00C816F8" w:rsidRDefault="00C816F8" w:rsidP="00C816F8">
      <w:pPr>
        <w:pStyle w:val="APAReference"/>
      </w:pPr>
      <w:bookmarkStart w:id="25" w:name="R409356061111111I0"/>
      <w:r>
        <w:t xml:space="preserve">Jarvis, C. (2008). </w:t>
      </w:r>
      <w:r>
        <w:rPr>
          <w:i/>
        </w:rPr>
        <w:t>Physical examination and health assessment</w:t>
      </w:r>
      <w:r>
        <w:t xml:space="preserve"> (5th ed.). St. Louis, MO: Saunders Elsevier.</w:t>
      </w:r>
      <w:bookmarkEnd w:id="25"/>
    </w:p>
    <w:p w:rsidR="00C816F8" w:rsidRDefault="00C816F8" w:rsidP="00C816F8">
      <w:pPr>
        <w:pStyle w:val="APAReference"/>
      </w:pPr>
      <w:bookmarkStart w:id="26" w:name="R409356694907407I0"/>
      <w:r>
        <w:t>Mayo Clinic. (2011). High blood pressure. Retrieved from http://www.mayoclinic.com</w:t>
      </w:r>
      <w:bookmarkEnd w:id="26"/>
    </w:p>
    <w:p w:rsidR="00C816F8" w:rsidRDefault="00C816F8" w:rsidP="00C816F8">
      <w:pPr>
        <w:pStyle w:val="APAReference"/>
      </w:pPr>
      <w:bookmarkStart w:id="27" w:name="R409348667361111I0"/>
      <w:r>
        <w:t>Mayo Clinic Staff. (2011). Peripheral artery disease. Retrieved from http://www.mayoclinic.com</w:t>
      </w:r>
      <w:bookmarkEnd w:id="27"/>
    </w:p>
    <w:p w:rsidR="00C816F8" w:rsidRDefault="00C816F8" w:rsidP="00C816F8">
      <w:pPr>
        <w:pStyle w:val="APAReference"/>
      </w:pPr>
      <w:bookmarkStart w:id="28" w:name="R409349160300926I0"/>
      <w:r>
        <w:t xml:space="preserve">McCance, K. L., &amp; Heuther, S. E. (2010). </w:t>
      </w:r>
      <w:r>
        <w:rPr>
          <w:i/>
        </w:rPr>
        <w:t>Pathophysiology:  The biologic basis for disease in adults and children</w:t>
      </w:r>
      <w:r>
        <w:t xml:space="preserve"> (6th ed.). Maryland Heights, MO: Mosby Elsevier.</w:t>
      </w:r>
      <w:bookmarkEnd w:id="28"/>
    </w:p>
    <w:p w:rsidR="00C816F8" w:rsidRDefault="00C816F8" w:rsidP="00C816F8">
      <w:pPr>
        <w:pStyle w:val="APAReference"/>
      </w:pPr>
      <w:bookmarkStart w:id="29" w:name="R408017187384259I0"/>
      <w:r>
        <w:rPr>
          <w:i/>
        </w:rPr>
        <w:t>Mosby’s 2012 nursing drug reference</w:t>
      </w:r>
      <w:r>
        <w:t xml:space="preserve"> (25th ed.). (2012). St. Louis, MO: Elsevier Mosby.</w:t>
      </w:r>
      <w:bookmarkEnd w:id="29"/>
    </w:p>
    <w:p w:rsidR="00C816F8" w:rsidRDefault="00C816F8" w:rsidP="00C816F8">
      <w:pPr>
        <w:pStyle w:val="APAReference"/>
      </w:pPr>
      <w:bookmarkStart w:id="30" w:name="R409356659606481I0"/>
      <w:r>
        <w:t>National Cancer Institute. (2011). Smoking cessation and continued risk in cancer patients. Retrieved from http://www.cancer.gov</w:t>
      </w:r>
      <w:bookmarkEnd w:id="30"/>
    </w:p>
    <w:p w:rsidR="00C816F8" w:rsidRDefault="00C816F8" w:rsidP="00C816F8">
      <w:pPr>
        <w:pStyle w:val="APAReference"/>
      </w:pPr>
      <w:bookmarkStart w:id="31" w:name="R409356807407407I0"/>
      <w:r>
        <w:t>National Heart Lung and Blood Institute. (2011). Signs and symptoms of peripheral artery disease. Retrieved from http://www.nhlbi.nih.gov</w:t>
      </w:r>
      <w:bookmarkEnd w:id="31"/>
    </w:p>
    <w:p w:rsidR="008820DB" w:rsidRPr="00C816F8" w:rsidRDefault="00C816F8" w:rsidP="00C816F8">
      <w:pPr>
        <w:pStyle w:val="APAReference"/>
      </w:pPr>
      <w:bookmarkStart w:id="32" w:name="R409348533912037I0"/>
      <w:r>
        <w:t>University of Maryland Medical Center. (2011). Peripheral vascular disease and intermittent claudication. Retrieved from http://www.umm.edu</w:t>
      </w:r>
      <w:bookmarkEnd w:id="32"/>
    </w:p>
    <w:sectPr w:rsidR="008820DB" w:rsidRPr="00C816F8" w:rsidSect="00557B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996" w:rsidRDefault="00794996">
      <w:r>
        <w:separator/>
      </w:r>
    </w:p>
  </w:endnote>
  <w:endnote w:type="continuationSeparator" w:id="0">
    <w:p w:rsidR="00794996" w:rsidRDefault="00794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97" w:rsidRDefault="001144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97" w:rsidRDefault="001144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97" w:rsidRDefault="001144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996" w:rsidRDefault="00794996">
      <w:r>
        <w:separator/>
      </w:r>
    </w:p>
  </w:footnote>
  <w:footnote w:type="continuationSeparator" w:id="0">
    <w:p w:rsidR="00794996" w:rsidRDefault="00794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97" w:rsidRDefault="001144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10" w:rsidRPr="00557B10" w:rsidRDefault="00557B10" w:rsidP="00557B10">
    <w:pPr>
      <w:pStyle w:val="APAPageHeading"/>
    </w:pPr>
    <w:r>
      <w:t>CASE STUDY 11.4:   ASSIGNMENT 3</w:t>
    </w:r>
    <w:r>
      <w:tab/>
    </w:r>
    <w:fldSimple w:instr=" PAGE  \* MERGEFORMAT ">
      <w:r w:rsidR="00A5697D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10" w:rsidRPr="00557B10" w:rsidRDefault="00557B10" w:rsidP="00557B10">
    <w:pPr>
      <w:pStyle w:val="APAPageHeading"/>
    </w:pPr>
    <w:r>
      <w:t>Running head: CASE STUDY 11.4:   ASSIGNMENT 3</w:t>
    </w:r>
    <w:r>
      <w:tab/>
    </w:r>
    <w:fldSimple w:instr=" PAGE  \* MERGEFORMAT ">
      <w:r w:rsidR="00A5697D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10" w:rsidRPr="00557B10" w:rsidRDefault="00557B10" w:rsidP="00557B10">
    <w:pPr>
      <w:pStyle w:val="APAPageHeading"/>
    </w:pPr>
    <w:r>
      <w:t>CASE STUDY 11.4:   ASSIGNMENT 3</w:t>
    </w:r>
    <w:r>
      <w:tab/>
    </w:r>
    <w:fldSimple w:instr=" PAGE  \* MERGEFORMAT ">
      <w:r w:rsidR="00A5697D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docVars>
    <w:docVar w:name="408017187384259I0" w:val="*1,600˜15Mosby’s 2012 nursing drug reference˜1234Mosby’s 2012 Nursing Drug Reference˜2201˜15225th˜21951˜21940˜1449˜12032012˜110St. Louis, MO˜111Elsevier Mosby˜269˜1196˜1609˜"/>
    <w:docVar w:name="409348533912037I0" w:val="*1,370˜118University of Maryland Medical Center˜2880˜1233˜2981˜122011˜13Peripheral vascular disease and intermittent claudication˜2701˜1112˜112http://www.umm.edu˜"/>
    <w:docVar w:name="409348667361111I0" w:val="*1,370˜118Mayo Clinic Staff˜2880˜1233˜2981˜122011˜13Peripheral artery disease˜2701˜1112˜112http://www.mayoclinic.com˜"/>
    <w:docVar w:name="409349008101852I0" w:val="*1,60˜11John~R~Bartholomew~Jeffrey~W~Olin~˜12032012˜2330˜1241˜13Pathophysiology of peripheral arterial disease and risk factors for its development˜16Cleveland Clinic Journal of Medicine˜2681˜18673˜211˜181˜2711˜1163S8-S14˜21751˜2691˜119610.3949/ccjm.73.Supple_4.S8˜1141˜"/>
    <w:docVar w:name="409349160300926I0" w:val="*1,597˜11Kathryn~L~McCance~Sue~E~Heuther~˜12032010˜15Pathophysiology:  The biologic basis for disease in adults and children˜2201˜1526th˜21951˜21940˜110Maryland Heights, MO˜111Mosby Elsevier˜1449˜269˜1196˜1609˜"/>
    <w:docVar w:name="409356061111111I0" w:val="*1,597˜11Carolyn~~Jarvis~˜12032008˜15Physical examination and health assessment˜2201˜1525th˜21951˜21940˜110St. Louis, MO˜111Saunders Elsevier˜1449˜269˜1196˜1609˜"/>
    <w:docVar w:name="409356183449074I0" w:val="*1,581˜11Lola~A~Coke~˜12032010˜2330˜1241˜151Vascular risk assessment of the older cardiovascular patient:  The ankle brachial index ˜1433Specialty Practice Series˜2811˜194Issue Number SP4˜21751˜1200Hartford Institute for Geriatric Nursing website˜1141http://www.consultgerirn.org˜110˜111˜"/>
    <w:docVar w:name="409356659606481I0" w:val="*1,370˜118National Cancer Institute˜2880˜1233˜2981˜122011˜13Smoking cessation and continued risk in cancer patients˜2701˜1112˜112http://www.cancer.gov˜"/>
    <w:docVar w:name="409356694907407I0" w:val="*1,370˜118Mayo Clinic˜2880˜1233˜2981˜122011˜13High blood pressure˜2701˜1112˜112http://www.mayoclinic.com˜"/>
    <w:docVar w:name="409356807407407I0" w:val="*1,370˜118National Heart Lung and Blood Institute˜2880˜1233˜2981˜122011˜13Signs and symptoms of peripheral artery disease˜2701˜1112˜112http://www.nhlbi.nih.gov˜"/>
    <w:docVar w:name="bmHeaderInfo" w:val="CASE STUDY 11.4:   ASSIGNMENT 3"/>
    <w:docVar w:name="cIsAbstract" w:val="False"/>
    <w:docVar w:name="cPaperAPAOrMLA" w:val="1"/>
    <w:docVar w:name="cUniquePaperID" w:val="409348254513889I0"/>
    <w:docVar w:name="LastEditedVersion" w:val="5"/>
  </w:docVars>
  <w:rsids>
    <w:rsidRoot w:val="001B43C3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662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4A96"/>
    <w:rsid w:val="00065715"/>
    <w:rsid w:val="00066EEF"/>
    <w:rsid w:val="000676E9"/>
    <w:rsid w:val="00067855"/>
    <w:rsid w:val="0007012E"/>
    <w:rsid w:val="0007101C"/>
    <w:rsid w:val="000718A5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312D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4497"/>
    <w:rsid w:val="00115618"/>
    <w:rsid w:val="0011599A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5BFC"/>
    <w:rsid w:val="0016796B"/>
    <w:rsid w:val="001717AD"/>
    <w:rsid w:val="0017576B"/>
    <w:rsid w:val="00176C2C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A7D29"/>
    <w:rsid w:val="001B2572"/>
    <w:rsid w:val="001B3645"/>
    <w:rsid w:val="001B43C3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13C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696A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1D31"/>
    <w:rsid w:val="00212532"/>
    <w:rsid w:val="002133C2"/>
    <w:rsid w:val="00214A4B"/>
    <w:rsid w:val="00215795"/>
    <w:rsid w:val="00215880"/>
    <w:rsid w:val="0021653C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40C83"/>
    <w:rsid w:val="002423B5"/>
    <w:rsid w:val="002437E6"/>
    <w:rsid w:val="00247CA9"/>
    <w:rsid w:val="00250738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5B75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B16DC"/>
    <w:rsid w:val="003B648B"/>
    <w:rsid w:val="003B7E34"/>
    <w:rsid w:val="003C1153"/>
    <w:rsid w:val="003C1D00"/>
    <w:rsid w:val="003C3D11"/>
    <w:rsid w:val="003C45C2"/>
    <w:rsid w:val="003C4C5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0F76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3EBC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4584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57B10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2E8D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1E1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4996"/>
    <w:rsid w:val="00795A58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6B1"/>
    <w:rsid w:val="007C0B49"/>
    <w:rsid w:val="007C2077"/>
    <w:rsid w:val="007C3630"/>
    <w:rsid w:val="007C3885"/>
    <w:rsid w:val="007D094A"/>
    <w:rsid w:val="007D132C"/>
    <w:rsid w:val="007D1A99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163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0DB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1763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3C64"/>
    <w:rsid w:val="008E4863"/>
    <w:rsid w:val="008E4F7A"/>
    <w:rsid w:val="008E64C9"/>
    <w:rsid w:val="008E67BB"/>
    <w:rsid w:val="008E7540"/>
    <w:rsid w:val="008F0361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2A22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28D3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697D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11D6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8D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D81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39FF"/>
    <w:rsid w:val="00BC4B00"/>
    <w:rsid w:val="00BC5D95"/>
    <w:rsid w:val="00BC7837"/>
    <w:rsid w:val="00BC79A0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3BD"/>
    <w:rsid w:val="00C11AA2"/>
    <w:rsid w:val="00C1369F"/>
    <w:rsid w:val="00C13F21"/>
    <w:rsid w:val="00C13FF5"/>
    <w:rsid w:val="00C1475C"/>
    <w:rsid w:val="00C21C52"/>
    <w:rsid w:val="00C21EA4"/>
    <w:rsid w:val="00C238A5"/>
    <w:rsid w:val="00C24682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3968"/>
    <w:rsid w:val="00C75352"/>
    <w:rsid w:val="00C77496"/>
    <w:rsid w:val="00C80ACF"/>
    <w:rsid w:val="00C80CF7"/>
    <w:rsid w:val="00C81034"/>
    <w:rsid w:val="00C813E5"/>
    <w:rsid w:val="00C816F8"/>
    <w:rsid w:val="00C82755"/>
    <w:rsid w:val="00C831CB"/>
    <w:rsid w:val="00C83B75"/>
    <w:rsid w:val="00C86DE9"/>
    <w:rsid w:val="00C919F1"/>
    <w:rsid w:val="00C92393"/>
    <w:rsid w:val="00C92436"/>
    <w:rsid w:val="00C94CF8"/>
    <w:rsid w:val="00C955B0"/>
    <w:rsid w:val="00C95C62"/>
    <w:rsid w:val="00C96CC9"/>
    <w:rsid w:val="00CA0101"/>
    <w:rsid w:val="00CA0B56"/>
    <w:rsid w:val="00CA1974"/>
    <w:rsid w:val="00CA1CD4"/>
    <w:rsid w:val="00CA1DE9"/>
    <w:rsid w:val="00CA20B1"/>
    <w:rsid w:val="00CA2551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D40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A26BF"/>
    <w:rsid w:val="00DA2C59"/>
    <w:rsid w:val="00DA2ED7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04A6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B46DF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75DA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2065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621D"/>
    <w:rsid w:val="00F27034"/>
    <w:rsid w:val="00F270C9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854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7E0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ED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ED7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DA2ED7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DA2ED7"/>
    <w:pPr>
      <w:spacing w:after="120"/>
    </w:pPr>
  </w:style>
  <w:style w:type="paragraph" w:styleId="Footer">
    <w:name w:val="footer"/>
    <w:basedOn w:val="Normal"/>
    <w:rsid w:val="00DA2E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2ED7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DA2ED7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DA2ED7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DA2ED7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DA2ED7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2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11.4, Assignment 3</vt:lpstr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11.4, Assignment 3</dc:title>
  <dc:subject>Copyright</dc:subject>
  <dc:creator>Natalie Thomas</dc:creator>
  <cp:lastModifiedBy>Mary</cp:lastModifiedBy>
  <cp:revision>2</cp:revision>
  <dcterms:created xsi:type="dcterms:W3CDTF">2012-02-02T04:03:00Z</dcterms:created>
  <dcterms:modified xsi:type="dcterms:W3CDTF">2012-02-02T04:03:00Z</dcterms:modified>
</cp:coreProperties>
</file>