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649" w:rsidRDefault="00960BA9" w:rsidP="00960BA9">
      <w:pPr>
        <w:jc w:val="center"/>
        <w:rPr>
          <w:rFonts w:ascii="Footlight MT Light" w:hAnsi="Footlight MT Light"/>
          <w:sz w:val="24"/>
          <w:szCs w:val="24"/>
        </w:rPr>
      </w:pPr>
      <w:r>
        <w:rPr>
          <w:rFonts w:ascii="Footlight MT Light" w:hAnsi="Footlight MT Light"/>
          <w:sz w:val="24"/>
          <w:szCs w:val="24"/>
        </w:rPr>
        <w:t>N301 Endocrine/Digestive Study Guide</w:t>
      </w:r>
    </w:p>
    <w:p w:rsidR="00960BA9" w:rsidRDefault="00960BA9" w:rsidP="00960BA9">
      <w:pPr>
        <w:rPr>
          <w:rFonts w:ascii="Footlight MT Light" w:hAnsi="Footlight MT Light"/>
          <w:sz w:val="24"/>
          <w:szCs w:val="24"/>
        </w:rPr>
      </w:pPr>
      <w:r>
        <w:rPr>
          <w:rFonts w:ascii="Footlight MT Light" w:hAnsi="Footlight MT Light"/>
          <w:b/>
          <w:sz w:val="24"/>
          <w:szCs w:val="24"/>
          <w:u w:val="single"/>
        </w:rPr>
        <w:t>DIGESTIVE SYSTEM</w:t>
      </w:r>
    </w:p>
    <w:p w:rsidR="00960BA9" w:rsidRDefault="00960BA9" w:rsidP="00960BA9">
      <w:pPr>
        <w:rPr>
          <w:rFonts w:ascii="Footlight MT Light" w:hAnsi="Footlight MT Light"/>
          <w:sz w:val="24"/>
          <w:szCs w:val="24"/>
        </w:rPr>
      </w:pPr>
      <w:r>
        <w:rPr>
          <w:rFonts w:ascii="Footlight MT Light" w:hAnsi="Footlight MT Light"/>
          <w:sz w:val="24"/>
          <w:szCs w:val="24"/>
        </w:rPr>
        <w:t>Review learning objectives for each of the chapters:</w:t>
      </w:r>
    </w:p>
    <w:p w:rsidR="00960BA9" w:rsidRDefault="00960BA9" w:rsidP="00960BA9">
      <w:pPr>
        <w:rPr>
          <w:rFonts w:ascii="Footlight MT Light" w:hAnsi="Footlight MT Light"/>
          <w:sz w:val="24"/>
          <w:szCs w:val="24"/>
        </w:rPr>
      </w:pPr>
      <w:r>
        <w:rPr>
          <w:rFonts w:ascii="Footlight MT Light" w:hAnsi="Footlight MT Light"/>
          <w:sz w:val="24"/>
          <w:szCs w:val="24"/>
          <w:u w:val="single"/>
        </w:rPr>
        <w:t>Ch. 34</w:t>
      </w:r>
    </w:p>
    <w:p w:rsidR="00960BA9" w:rsidRDefault="00960BA9" w:rsidP="00960BA9">
      <w:pPr>
        <w:pStyle w:val="ListParagraph"/>
        <w:numPr>
          <w:ilvl w:val="0"/>
          <w:numId w:val="1"/>
        </w:numPr>
        <w:rPr>
          <w:rFonts w:ascii="Footlight MT Light" w:hAnsi="Footlight MT Light"/>
          <w:sz w:val="24"/>
          <w:szCs w:val="24"/>
        </w:rPr>
      </w:pPr>
      <w:r>
        <w:rPr>
          <w:rFonts w:ascii="Footlight MT Light" w:hAnsi="Footlight MT Light"/>
          <w:sz w:val="24"/>
          <w:szCs w:val="24"/>
        </w:rPr>
        <w:t xml:space="preserve">Examine the anatomy &amp; physiology of the GI tract: </w:t>
      </w:r>
      <w:r w:rsidRPr="00960BA9">
        <w:rPr>
          <w:rFonts w:ascii="Footlight MT Light" w:hAnsi="Footlight MT Light"/>
          <w:sz w:val="24"/>
          <w:szCs w:val="24"/>
        </w:rPr>
        <w:drawing>
          <wp:inline distT="0" distB="0" distL="0" distR="0" wp14:anchorId="4B928847" wp14:editId="4F82E87B">
            <wp:extent cx="5943600" cy="4457700"/>
            <wp:effectExtent l="0" t="0" r="0" b="0"/>
            <wp:docPr id="1" name="Picture 1" descr="http://gasdetections.com/wp-content/uploads/2011/07/Anatomy-Gastrointestinal-Syste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gasdetections.com/wp-content/uploads/2011/07/Anatomy-Gastrointestinal-System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tbl>
      <w:tblPr>
        <w:tblStyle w:val="TableGrid"/>
        <w:tblW w:w="0" w:type="auto"/>
        <w:tblInd w:w="720" w:type="dxa"/>
        <w:tblLook w:val="04A0" w:firstRow="1" w:lastRow="0" w:firstColumn="1" w:lastColumn="0" w:noHBand="0" w:noVBand="1"/>
      </w:tblPr>
      <w:tblGrid>
        <w:gridCol w:w="1881"/>
        <w:gridCol w:w="1709"/>
        <w:gridCol w:w="1683"/>
        <w:gridCol w:w="1738"/>
        <w:gridCol w:w="1845"/>
      </w:tblGrid>
      <w:tr w:rsidR="00052E4A" w:rsidTr="00052E4A">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Hormone</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Source</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Target</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Triggers</w:t>
            </w:r>
          </w:p>
        </w:tc>
        <w:tc>
          <w:tcPr>
            <w:tcW w:w="1916"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Effects</w:t>
            </w:r>
          </w:p>
        </w:tc>
      </w:tr>
      <w:tr w:rsidR="00052E4A" w:rsidTr="00052E4A">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Gastrin</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Gastric Mucosa</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Stomach</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Food in stomach, psychic factors</w:t>
            </w:r>
          </w:p>
        </w:tc>
        <w:tc>
          <w:tcPr>
            <w:tcW w:w="1916"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Increased HCL secretion and gastric emptying</w:t>
            </w:r>
          </w:p>
        </w:tc>
      </w:tr>
      <w:tr w:rsidR="00052E4A" w:rsidTr="00052E4A">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Cholecystokinin (CCK)</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Duodenal Mucosa</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Gall Bladder &amp; Pancreas</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Amino acids, peptides, and fatty acids in duodenum</w:t>
            </w:r>
          </w:p>
        </w:tc>
        <w:tc>
          <w:tcPr>
            <w:tcW w:w="1916"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Cxn of gallbladder and secretion of pancreatic juice</w:t>
            </w:r>
          </w:p>
        </w:tc>
      </w:tr>
      <w:tr w:rsidR="00052E4A" w:rsidTr="00052E4A">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Secretin</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Gastric Mucosa</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Pancreas</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Acid in duodenum</w:t>
            </w:r>
          </w:p>
        </w:tc>
        <w:tc>
          <w:tcPr>
            <w:tcW w:w="1916"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(^)bicarbonate secretion</w:t>
            </w:r>
          </w:p>
        </w:tc>
      </w:tr>
      <w:tr w:rsidR="00052E4A" w:rsidTr="00052E4A">
        <w:trPr>
          <w:trHeight w:val="70"/>
        </w:trPr>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Enterogastrone</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Duodenal mucosa</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Stomach</w:t>
            </w:r>
          </w:p>
        </w:tc>
        <w:tc>
          <w:tcPr>
            <w:tcW w:w="1915"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Fat digestion products in duodenum</w:t>
            </w:r>
          </w:p>
        </w:tc>
        <w:tc>
          <w:tcPr>
            <w:tcW w:w="1916" w:type="dxa"/>
          </w:tcPr>
          <w:p w:rsidR="00052E4A" w:rsidRDefault="00052E4A" w:rsidP="00052E4A">
            <w:pPr>
              <w:pStyle w:val="ListParagraph"/>
              <w:ind w:left="0"/>
              <w:rPr>
                <w:rFonts w:ascii="Footlight MT Light" w:hAnsi="Footlight MT Light"/>
                <w:sz w:val="24"/>
                <w:szCs w:val="24"/>
              </w:rPr>
            </w:pPr>
            <w:r>
              <w:rPr>
                <w:rFonts w:ascii="Footlight MT Light" w:hAnsi="Footlight MT Light"/>
                <w:sz w:val="24"/>
                <w:szCs w:val="24"/>
              </w:rPr>
              <w:t>Decreases gastric emptying</w:t>
            </w:r>
          </w:p>
        </w:tc>
      </w:tr>
    </w:tbl>
    <w:p w:rsidR="00052E4A" w:rsidRDefault="00052E4A" w:rsidP="00052E4A">
      <w:pPr>
        <w:pStyle w:val="ListParagraph"/>
        <w:numPr>
          <w:ilvl w:val="0"/>
          <w:numId w:val="1"/>
        </w:numPr>
        <w:rPr>
          <w:rFonts w:ascii="Footlight MT Light" w:hAnsi="Footlight MT Light"/>
          <w:sz w:val="24"/>
          <w:szCs w:val="24"/>
        </w:rPr>
      </w:pPr>
      <w:r>
        <w:rPr>
          <w:rFonts w:ascii="Footlight MT Light" w:hAnsi="Footlight MT Light"/>
          <w:sz w:val="24"/>
          <w:szCs w:val="24"/>
        </w:rPr>
        <w:lastRenderedPageBreak/>
        <w:t xml:space="preserve">Examine the metabolic fcn’s of the liver: Can be considered a chemical factory that manufactures, stores, alters, and excretes a large number of substances involved in metabolism.  Fcn’s include: glucose metabolism, conversion of ammonia to urea, protein and fat metabolism, vitamin and iron storage, drug metabolism, bile formation, and Bilirubin excretion.  Liver forms bile that’s stored in gall bladder.  Blockage of gall bladder = problem with pancreas (pancreatitis).  </w:t>
      </w:r>
    </w:p>
    <w:p w:rsidR="0052636A" w:rsidRDefault="0052636A" w:rsidP="00052E4A">
      <w:pPr>
        <w:pStyle w:val="ListParagraph"/>
        <w:numPr>
          <w:ilvl w:val="0"/>
          <w:numId w:val="1"/>
        </w:numPr>
        <w:rPr>
          <w:rFonts w:ascii="Footlight MT Light" w:hAnsi="Footlight MT Light"/>
          <w:sz w:val="24"/>
          <w:szCs w:val="24"/>
        </w:rPr>
      </w:pPr>
      <w:r>
        <w:rPr>
          <w:rFonts w:ascii="Footlight MT Light" w:hAnsi="Footlight MT Light"/>
          <w:sz w:val="24"/>
          <w:szCs w:val="24"/>
        </w:rPr>
        <w:t xml:space="preserve">Explain the important physical assessment findings of the GI tract: Abdominal inspection, abd. Auscultation (signifies presence of peristalsis), abd. Percussion, abd. </w:t>
      </w:r>
      <w:r w:rsidR="00CC5C73">
        <w:rPr>
          <w:rFonts w:ascii="Footlight MT Light" w:hAnsi="Footlight MT Light"/>
          <w:sz w:val="24"/>
          <w:szCs w:val="24"/>
        </w:rPr>
        <w:t>Palpation</w:t>
      </w:r>
      <w:r>
        <w:rPr>
          <w:rFonts w:ascii="Footlight MT Light" w:hAnsi="Footlight MT Light"/>
          <w:sz w:val="24"/>
          <w:szCs w:val="24"/>
        </w:rPr>
        <w:t xml:space="preserve"> and rectal examination.  </w:t>
      </w:r>
      <w:r w:rsidR="00CC5C73">
        <w:rPr>
          <w:rFonts w:ascii="Footlight MT Light" w:hAnsi="Footlight MT Light"/>
          <w:sz w:val="24"/>
          <w:szCs w:val="24"/>
        </w:rPr>
        <w:t>Peritonitis</w:t>
      </w:r>
      <w:r>
        <w:rPr>
          <w:rFonts w:ascii="Footlight MT Light" w:hAnsi="Footlight MT Light"/>
          <w:sz w:val="24"/>
          <w:szCs w:val="24"/>
        </w:rPr>
        <w:t>= distended and hard abd. (pt. not able to keep knees flat; wants knees up near chest)</w:t>
      </w:r>
    </w:p>
    <w:p w:rsidR="0052636A" w:rsidRDefault="0052636A" w:rsidP="00052E4A">
      <w:pPr>
        <w:pStyle w:val="ListParagraph"/>
        <w:numPr>
          <w:ilvl w:val="0"/>
          <w:numId w:val="1"/>
        </w:numPr>
        <w:rPr>
          <w:rFonts w:ascii="Footlight MT Light" w:hAnsi="Footlight MT Light"/>
          <w:sz w:val="24"/>
          <w:szCs w:val="24"/>
        </w:rPr>
      </w:pPr>
      <w:r>
        <w:rPr>
          <w:rFonts w:ascii="Footlight MT Light" w:hAnsi="Footlight MT Light"/>
          <w:sz w:val="24"/>
          <w:szCs w:val="24"/>
        </w:rPr>
        <w:t xml:space="preserve">Examine the assessment parameters used to determine the status of the upper and lower GI tract: Health hx. Nutritional assessment, lab. </w:t>
      </w:r>
      <w:r w:rsidR="00CC5C73">
        <w:rPr>
          <w:rFonts w:ascii="Footlight MT Light" w:hAnsi="Footlight MT Light"/>
          <w:sz w:val="24"/>
          <w:szCs w:val="24"/>
        </w:rPr>
        <w:t>Studies</w:t>
      </w:r>
      <w:r>
        <w:rPr>
          <w:rFonts w:ascii="Footlight MT Light" w:hAnsi="Footlight MT Light"/>
          <w:sz w:val="24"/>
          <w:szCs w:val="24"/>
        </w:rPr>
        <w:t xml:space="preserve"> and medication use.  Specific parameters on pp.</w:t>
      </w:r>
    </w:p>
    <w:p w:rsidR="0052636A" w:rsidRDefault="0052636A" w:rsidP="0052636A">
      <w:pPr>
        <w:pStyle w:val="ListParagraph"/>
        <w:rPr>
          <w:rFonts w:ascii="Footlight MT Light" w:hAnsi="Footlight MT Light"/>
          <w:sz w:val="24"/>
          <w:szCs w:val="24"/>
        </w:rPr>
      </w:pPr>
    </w:p>
    <w:p w:rsidR="0052636A" w:rsidRDefault="0052636A" w:rsidP="0052636A">
      <w:pPr>
        <w:pStyle w:val="ListParagraph"/>
        <w:rPr>
          <w:rFonts w:ascii="Footlight MT Light" w:hAnsi="Footlight MT Light"/>
          <w:sz w:val="24"/>
          <w:szCs w:val="24"/>
          <w:u w:val="single"/>
        </w:rPr>
      </w:pPr>
      <w:r>
        <w:rPr>
          <w:rFonts w:ascii="Footlight MT Light" w:hAnsi="Footlight MT Light"/>
          <w:sz w:val="24"/>
          <w:szCs w:val="24"/>
          <w:u w:val="single"/>
        </w:rPr>
        <w:t>Ch. 35</w:t>
      </w:r>
    </w:p>
    <w:p w:rsidR="0052636A" w:rsidRDefault="0052636A" w:rsidP="0052636A">
      <w:pPr>
        <w:pStyle w:val="ListParagraph"/>
        <w:numPr>
          <w:ilvl w:val="0"/>
          <w:numId w:val="2"/>
        </w:numPr>
        <w:rPr>
          <w:rFonts w:ascii="Footlight MT Light" w:hAnsi="Footlight MT Light"/>
          <w:sz w:val="24"/>
          <w:szCs w:val="24"/>
        </w:rPr>
      </w:pPr>
      <w:r>
        <w:rPr>
          <w:rFonts w:ascii="Footlight MT Light" w:hAnsi="Footlight MT Light"/>
          <w:sz w:val="24"/>
          <w:szCs w:val="24"/>
        </w:rPr>
        <w:t xml:space="preserve">Examine the nursing management of pt.’s with conditions of the oral cavity: Primary focus of mouth care is to </w:t>
      </w:r>
      <w:r w:rsidR="00CC5C73">
        <w:rPr>
          <w:rFonts w:ascii="Footlight MT Light" w:hAnsi="Footlight MT Light"/>
          <w:sz w:val="24"/>
          <w:szCs w:val="24"/>
        </w:rPr>
        <w:t>lessen</w:t>
      </w:r>
      <w:r>
        <w:rPr>
          <w:rFonts w:ascii="Footlight MT Light" w:hAnsi="Footlight MT Light"/>
          <w:sz w:val="24"/>
          <w:szCs w:val="24"/>
        </w:rPr>
        <w:t xml:space="preserve"> the amt of bacterial film that accumulates on teeth, around gums, and in saliva; the nurse must perform this care </w:t>
      </w:r>
      <w:r w:rsidR="00CC5C73">
        <w:rPr>
          <w:rFonts w:ascii="Footlight MT Light" w:hAnsi="Footlight MT Light"/>
          <w:sz w:val="24"/>
          <w:szCs w:val="24"/>
        </w:rPr>
        <w:t>conscientiously</w:t>
      </w:r>
      <w:r>
        <w:rPr>
          <w:rFonts w:ascii="Footlight MT Light" w:hAnsi="Footlight MT Light"/>
          <w:sz w:val="24"/>
          <w:szCs w:val="24"/>
        </w:rPr>
        <w:t xml:space="preserve"> if the pt. is unable.  Temporomandibular joint disorder (TJD) is a name given to a group of s/s that include pain in the facial muscles and dysfunction of the head, face, and jaw.  Correct posture and education of not to bite fingernails could prevent this.  Usually pt.’s who have this s/s disappear within 6 months.  If pain is unbearable, admin. </w:t>
      </w:r>
      <w:r w:rsidR="00CC5C73">
        <w:rPr>
          <w:rFonts w:ascii="Footlight MT Light" w:hAnsi="Footlight MT Light"/>
          <w:sz w:val="24"/>
          <w:szCs w:val="24"/>
        </w:rPr>
        <w:t>Tylenol</w:t>
      </w:r>
      <w:r>
        <w:rPr>
          <w:rFonts w:ascii="Footlight MT Light" w:hAnsi="Footlight MT Light"/>
          <w:sz w:val="24"/>
          <w:szCs w:val="24"/>
        </w:rPr>
        <w:t xml:space="preserve"> or N</w:t>
      </w:r>
      <w:r w:rsidR="00DF1C18">
        <w:rPr>
          <w:rFonts w:ascii="Footlight MT Light" w:hAnsi="Footlight MT Light"/>
          <w:sz w:val="24"/>
          <w:szCs w:val="24"/>
        </w:rPr>
        <w:t xml:space="preserve">SAID to relieve pain as ordered and provide oral hygiene if pt. is unable.  Oral and oropharyngeal cancer: risk factors include </w:t>
      </w:r>
      <w:r w:rsidR="00CC5C73">
        <w:rPr>
          <w:rFonts w:ascii="Footlight MT Light" w:hAnsi="Footlight MT Light"/>
          <w:sz w:val="24"/>
          <w:szCs w:val="24"/>
        </w:rPr>
        <w:t>alcohol</w:t>
      </w:r>
      <w:r w:rsidR="00DF1C18">
        <w:rPr>
          <w:rFonts w:ascii="Footlight MT Light" w:hAnsi="Footlight MT Light"/>
          <w:sz w:val="24"/>
          <w:szCs w:val="24"/>
        </w:rPr>
        <w:t xml:space="preserve"> and tobacco use.  Management involves radiation therapy, chemo therapy, and surgery.</w:t>
      </w:r>
    </w:p>
    <w:p w:rsidR="00DF1C18" w:rsidRDefault="00DF1C18" w:rsidP="0052636A">
      <w:pPr>
        <w:pStyle w:val="ListParagraph"/>
        <w:numPr>
          <w:ilvl w:val="0"/>
          <w:numId w:val="2"/>
        </w:numPr>
        <w:rPr>
          <w:rFonts w:ascii="Footlight MT Light" w:hAnsi="Footlight MT Light"/>
          <w:sz w:val="24"/>
          <w:szCs w:val="24"/>
        </w:rPr>
      </w:pPr>
      <w:r>
        <w:rPr>
          <w:rFonts w:ascii="Footlight MT Light" w:hAnsi="Footlight MT Light"/>
          <w:sz w:val="24"/>
          <w:szCs w:val="24"/>
        </w:rPr>
        <w:t xml:space="preserve">Use the nursing process as a framework for care of pt.’s undergoing neck dissection: </w:t>
      </w:r>
      <w:r w:rsidR="00CC5C73">
        <w:rPr>
          <w:rFonts w:ascii="Footlight MT Light" w:hAnsi="Footlight MT Light"/>
          <w:sz w:val="24"/>
          <w:szCs w:val="24"/>
        </w:rPr>
        <w:t>Assessments</w:t>
      </w:r>
      <w:r>
        <w:rPr>
          <w:rFonts w:ascii="Footlight MT Light" w:hAnsi="Footlight MT Light"/>
          <w:sz w:val="24"/>
          <w:szCs w:val="24"/>
        </w:rPr>
        <w:t xml:space="preserve"> focus on altered respiratory status (airway integrity and management of secretions) wound infection, and hemorrhage (can end up with </w:t>
      </w:r>
      <w:r w:rsidR="00CC5C73">
        <w:rPr>
          <w:rFonts w:ascii="Footlight MT Light" w:hAnsi="Footlight MT Light"/>
          <w:sz w:val="24"/>
          <w:szCs w:val="24"/>
        </w:rPr>
        <w:t>tracheostomy</w:t>
      </w:r>
      <w:r>
        <w:rPr>
          <w:rFonts w:ascii="Footlight MT Light" w:hAnsi="Footlight MT Light"/>
          <w:sz w:val="24"/>
          <w:szCs w:val="24"/>
        </w:rPr>
        <w:t>), interventions prioritize protecting the airway, preventing infection, relieving pain, providing wound care, and facilitating coping and communication.</w:t>
      </w:r>
    </w:p>
    <w:p w:rsidR="00DF1C18" w:rsidRDefault="00DF1C18" w:rsidP="0052636A">
      <w:pPr>
        <w:pStyle w:val="ListParagraph"/>
        <w:numPr>
          <w:ilvl w:val="0"/>
          <w:numId w:val="2"/>
        </w:numPr>
        <w:rPr>
          <w:rFonts w:ascii="Footlight MT Light" w:hAnsi="Footlight MT Light"/>
          <w:sz w:val="24"/>
          <w:szCs w:val="24"/>
        </w:rPr>
      </w:pPr>
      <w:r>
        <w:rPr>
          <w:rFonts w:ascii="Footlight MT Light" w:hAnsi="Footlight MT Light"/>
          <w:sz w:val="24"/>
          <w:szCs w:val="24"/>
        </w:rPr>
        <w:t xml:space="preserve">Examine the various conditions of the esophagus &amp; their clinical manifestations and management= </w:t>
      </w:r>
      <w:r>
        <w:rPr>
          <w:rFonts w:ascii="Footlight MT Light" w:hAnsi="Footlight MT Light"/>
          <w:b/>
          <w:i/>
          <w:sz w:val="24"/>
          <w:szCs w:val="24"/>
          <w:u w:val="single"/>
        </w:rPr>
        <w:t>under esophageal/GERD part of study guide</w:t>
      </w:r>
    </w:p>
    <w:p w:rsidR="000B0046" w:rsidRDefault="00DF1C18" w:rsidP="000B0046">
      <w:pPr>
        <w:pStyle w:val="ListParagraph"/>
        <w:numPr>
          <w:ilvl w:val="0"/>
          <w:numId w:val="2"/>
        </w:numPr>
        <w:rPr>
          <w:rFonts w:ascii="Footlight MT Light" w:hAnsi="Footlight MT Light"/>
          <w:sz w:val="24"/>
          <w:szCs w:val="24"/>
        </w:rPr>
      </w:pPr>
      <w:r>
        <w:rPr>
          <w:rFonts w:ascii="Footlight MT Light" w:hAnsi="Footlight MT Light"/>
          <w:sz w:val="24"/>
          <w:szCs w:val="24"/>
        </w:rPr>
        <w:t xml:space="preserve">Explain the purpose and types of intubation: Gastrointestinal intubation= can be done to: decompress (remove) stomach fluid or air, lavage the stomach and remove toxins, </w:t>
      </w:r>
      <w:r w:rsidR="00CC5C73">
        <w:rPr>
          <w:rFonts w:ascii="Footlight MT Light" w:hAnsi="Footlight MT Light"/>
          <w:sz w:val="24"/>
          <w:szCs w:val="24"/>
        </w:rPr>
        <w:t>administer</w:t>
      </w:r>
      <w:r>
        <w:rPr>
          <w:rFonts w:ascii="Footlight MT Light" w:hAnsi="Footlight MT Light"/>
          <w:sz w:val="24"/>
          <w:szCs w:val="24"/>
        </w:rPr>
        <w:t xml:space="preserve"> medic</w:t>
      </w:r>
      <w:r w:rsidR="000B0046">
        <w:rPr>
          <w:rFonts w:ascii="Footlight MT Light" w:hAnsi="Footlight MT Light"/>
          <w:sz w:val="24"/>
          <w:szCs w:val="24"/>
        </w:rPr>
        <w:t xml:space="preserve">ations and nutrition (eg NG tube), treat an obstruction, and bypass secretions of the tract.  </w:t>
      </w:r>
    </w:p>
    <w:p w:rsidR="00DF1C18" w:rsidRPr="000B0046" w:rsidRDefault="000B0046" w:rsidP="000B0046">
      <w:pPr>
        <w:pStyle w:val="ListParagraph"/>
        <w:numPr>
          <w:ilvl w:val="0"/>
          <w:numId w:val="2"/>
        </w:numPr>
        <w:rPr>
          <w:rFonts w:ascii="Footlight MT Light" w:hAnsi="Footlight MT Light"/>
          <w:sz w:val="24"/>
          <w:szCs w:val="24"/>
        </w:rPr>
      </w:pPr>
      <w:r>
        <w:rPr>
          <w:rFonts w:ascii="Footlight MT Light" w:hAnsi="Footlight MT Light"/>
          <w:sz w:val="24"/>
          <w:szCs w:val="24"/>
        </w:rPr>
        <w:t>NG (</w:t>
      </w:r>
      <w:r w:rsidR="00CC5C73">
        <w:rPr>
          <w:rFonts w:ascii="Footlight MT Light" w:hAnsi="Footlight MT Light"/>
          <w:sz w:val="24"/>
          <w:szCs w:val="24"/>
        </w:rPr>
        <w:t>nasogastric</w:t>
      </w:r>
      <w:r>
        <w:rPr>
          <w:rFonts w:ascii="Footlight MT Light" w:hAnsi="Footlight MT Light"/>
          <w:sz w:val="24"/>
          <w:szCs w:val="24"/>
        </w:rPr>
        <w:t xml:space="preserve">) and OG (oro-gastric) tubes= given meds through this, crush, put in H2O, d/c suction for 30 min. prior to given meds, x-ray for placement.; bright red blood signifying bleeding from NG tube; before admin food through NG/OG tube check for tube placement (x-ray or inserting air and listen), check for residual (pull back on syringe) If &gt;200 mL, there is a risk for aspiration so do NOT give food.  PEG tube= </w:t>
      </w:r>
      <w:r w:rsidRPr="000B0046">
        <w:rPr>
          <w:rFonts w:ascii="Footlight MT Light" w:hAnsi="Footlight MT Light"/>
          <w:sz w:val="24"/>
          <w:szCs w:val="24"/>
        </w:rPr>
        <w:t xml:space="preserve"> endoscopic med</w:t>
      </w:r>
      <w:r>
        <w:rPr>
          <w:rFonts w:ascii="Footlight MT Light" w:hAnsi="Footlight MT Light"/>
          <w:sz w:val="24"/>
          <w:szCs w:val="24"/>
        </w:rPr>
        <w:t xml:space="preserve">ical procedure in which a tube </w:t>
      </w:r>
      <w:r w:rsidRPr="000B0046">
        <w:rPr>
          <w:rFonts w:ascii="Footlight MT Light" w:hAnsi="Footlight MT Light"/>
          <w:sz w:val="24"/>
          <w:szCs w:val="24"/>
        </w:rPr>
        <w:t xml:space="preserve">is passed into a patient's stomach through the abdominal wall, most commonly to provide a means </w:t>
      </w:r>
      <w:r w:rsidRPr="000B0046">
        <w:rPr>
          <w:rFonts w:ascii="Footlight MT Light" w:hAnsi="Footlight MT Light"/>
          <w:sz w:val="24"/>
          <w:szCs w:val="24"/>
        </w:rPr>
        <w:lastRenderedPageBreak/>
        <w:t>of feeding when oral intake is not adequate. The procedure is an alternative to surgical gastrostomy insertion, and does not require a general anesthetic; mild sedation is typically used. PEG tubes may also be extended into the small intestine by passing a jejunal extension tube (PEG-J tube) through the PEG tube and into</w:t>
      </w:r>
      <w:r>
        <w:rPr>
          <w:rFonts w:ascii="Footlight MT Light" w:hAnsi="Footlight MT Light"/>
          <w:sz w:val="24"/>
          <w:szCs w:val="24"/>
        </w:rPr>
        <w:t xml:space="preserve"> the jejunum via the pylorus. </w:t>
      </w:r>
      <w:r w:rsidRPr="000B0046">
        <w:rPr>
          <w:rFonts w:ascii="Footlight MT Light" w:hAnsi="Footlight MT Light"/>
          <w:sz w:val="24"/>
          <w:szCs w:val="24"/>
        </w:rPr>
        <w:t xml:space="preserve">PEG administration of enteral feeds is the most commonly used method of nutritional support for patients in the community. Many stroke patients, for example, are at risk of aspiration pneumonia due to poor control over the swallowing muscles; some will benefit from a PEG performed to maintain nutrition. PEGs may also be inserted to decompress the stomach </w:t>
      </w:r>
      <w:r>
        <w:rPr>
          <w:rFonts w:ascii="Footlight MT Light" w:hAnsi="Footlight MT Light"/>
          <w:sz w:val="24"/>
          <w:szCs w:val="24"/>
        </w:rPr>
        <w:t xml:space="preserve">in cases of gastric volvulus. </w:t>
      </w:r>
    </w:p>
    <w:p w:rsidR="00052E4A" w:rsidRDefault="000B0046" w:rsidP="000B0046">
      <w:pPr>
        <w:pStyle w:val="ListParagraph"/>
        <w:numPr>
          <w:ilvl w:val="0"/>
          <w:numId w:val="2"/>
        </w:numPr>
        <w:rPr>
          <w:rFonts w:ascii="Footlight MT Light" w:hAnsi="Footlight MT Light"/>
          <w:sz w:val="24"/>
          <w:szCs w:val="24"/>
        </w:rPr>
      </w:pPr>
      <w:r>
        <w:rPr>
          <w:rFonts w:ascii="Footlight MT Light" w:hAnsi="Footlight MT Light"/>
          <w:sz w:val="24"/>
          <w:szCs w:val="24"/>
        </w:rPr>
        <w:t xml:space="preserve">Examine the purposes &amp; uses of parenteral nutrition: Given to meet nutritional requirements when oral intake in inadequate or not possible and the GI tract is fcn’ing </w:t>
      </w:r>
      <w:r w:rsidR="004B44F1">
        <w:rPr>
          <w:rFonts w:ascii="Footlight MT Light" w:hAnsi="Footlight MT Light"/>
          <w:sz w:val="24"/>
          <w:szCs w:val="24"/>
        </w:rPr>
        <w:t xml:space="preserve">normally, delivered to the stomach (NG incubation or gastrostomy) or to the distal duodenum or proximal </w:t>
      </w:r>
      <w:r w:rsidR="00CC5C73">
        <w:rPr>
          <w:rFonts w:ascii="Footlight MT Light" w:hAnsi="Footlight MT Light"/>
          <w:sz w:val="24"/>
          <w:szCs w:val="24"/>
        </w:rPr>
        <w:t>jejunum</w:t>
      </w:r>
      <w:r w:rsidR="004B44F1">
        <w:rPr>
          <w:rFonts w:ascii="Footlight MT Light" w:hAnsi="Footlight MT Light"/>
          <w:sz w:val="24"/>
          <w:szCs w:val="24"/>
        </w:rPr>
        <w:t xml:space="preserve"> (may be cont. of cyclic feeding </w:t>
      </w:r>
      <w:r w:rsidR="00CC5C73">
        <w:rPr>
          <w:rFonts w:ascii="Footlight MT Light" w:hAnsi="Footlight MT Light"/>
          <w:sz w:val="24"/>
          <w:szCs w:val="24"/>
        </w:rPr>
        <w:t>schedule</w:t>
      </w:r>
      <w:r w:rsidR="004B44F1">
        <w:rPr>
          <w:rFonts w:ascii="Footlight MT Light" w:hAnsi="Footlight MT Light"/>
          <w:sz w:val="24"/>
          <w:szCs w:val="24"/>
        </w:rPr>
        <w:t xml:space="preserve">), </w:t>
      </w:r>
      <w:r w:rsidR="00CC5C73">
        <w:rPr>
          <w:rFonts w:ascii="Footlight MT Light" w:hAnsi="Footlight MT Light"/>
          <w:sz w:val="24"/>
          <w:szCs w:val="24"/>
        </w:rPr>
        <w:t>priorities</w:t>
      </w:r>
      <w:r w:rsidR="004B44F1">
        <w:rPr>
          <w:rFonts w:ascii="Footlight MT Light" w:hAnsi="Footlight MT Light"/>
          <w:sz w:val="24"/>
          <w:szCs w:val="24"/>
        </w:rPr>
        <w:t xml:space="preserve"> for care: reduce the risk of aspiration, residual assessment, preventing dumping syndrome (highly r/t formula that is chosen)</w:t>
      </w:r>
    </w:p>
    <w:p w:rsidR="004B44F1" w:rsidRDefault="004B44F1" w:rsidP="004B44F1">
      <w:pPr>
        <w:ind w:left="720"/>
        <w:rPr>
          <w:rFonts w:ascii="Footlight MT Light" w:hAnsi="Footlight MT Light"/>
          <w:sz w:val="24"/>
          <w:szCs w:val="24"/>
          <w:u w:val="single"/>
        </w:rPr>
      </w:pPr>
      <w:r>
        <w:rPr>
          <w:rFonts w:ascii="Footlight MT Light" w:hAnsi="Footlight MT Light"/>
          <w:sz w:val="24"/>
          <w:szCs w:val="24"/>
          <w:u w:val="single"/>
        </w:rPr>
        <w:t>Ch. 37</w:t>
      </w:r>
    </w:p>
    <w:p w:rsidR="004B44F1" w:rsidRDefault="004B44F1" w:rsidP="004B44F1">
      <w:pPr>
        <w:pStyle w:val="ListParagraph"/>
        <w:numPr>
          <w:ilvl w:val="0"/>
          <w:numId w:val="3"/>
        </w:numPr>
        <w:rPr>
          <w:rFonts w:ascii="Footlight MT Light" w:hAnsi="Footlight MT Light"/>
          <w:sz w:val="24"/>
          <w:szCs w:val="24"/>
        </w:rPr>
      </w:pPr>
      <w:r>
        <w:rPr>
          <w:rFonts w:ascii="Footlight MT Light" w:hAnsi="Footlight MT Light"/>
          <w:sz w:val="24"/>
          <w:szCs w:val="24"/>
        </w:rPr>
        <w:t xml:space="preserve">Differentiate the etiology, clinical manifestations, and management of acute gastritis, chronic gastritis and peptic ulcer (peptic ulcer in other part of study guide): Acute Gastritis: Rapid onset of symptoms usually </w:t>
      </w:r>
      <w:r w:rsidR="00CC5C73">
        <w:rPr>
          <w:rFonts w:ascii="Footlight MT Light" w:hAnsi="Footlight MT Light"/>
          <w:sz w:val="24"/>
          <w:szCs w:val="24"/>
        </w:rPr>
        <w:t>caused</w:t>
      </w:r>
      <w:r>
        <w:rPr>
          <w:rFonts w:ascii="Footlight MT Light" w:hAnsi="Footlight MT Light"/>
          <w:sz w:val="24"/>
          <w:szCs w:val="24"/>
        </w:rPr>
        <w:t xml:space="preserve"> by dietary indiscretion, other causes include meds, alcohol, bile reflux, and radiation therapy.  Ingestion of strong acid of alkali may cause serious complications, </w:t>
      </w:r>
      <w:r w:rsidR="00CC5C73">
        <w:rPr>
          <w:rFonts w:ascii="Footlight MT Light" w:hAnsi="Footlight MT Light"/>
          <w:sz w:val="24"/>
          <w:szCs w:val="24"/>
        </w:rPr>
        <w:t>manifestations</w:t>
      </w:r>
      <w:r>
        <w:rPr>
          <w:rFonts w:ascii="Footlight MT Light" w:hAnsi="Footlight MT Light"/>
          <w:sz w:val="24"/>
          <w:szCs w:val="24"/>
        </w:rPr>
        <w:t xml:space="preserve"> include abd. Discomfort, H/A, lassitude, n/v, hiccupping, management includes: refrain from alcohol and food until symptoms subside, if d/t strong acid or alkali tx to neutralize the agent, avoid anti-emetics and lavage d/t danger of perforation and damage to esophagus, supportive therapy.  Chronic Gastritis: Prolonged inflammation d/t benign of malignant ulcers of the stomach or by </w:t>
      </w:r>
      <w:r w:rsidRPr="004B44F1">
        <w:rPr>
          <w:rFonts w:ascii="Footlight MT Light" w:hAnsi="Footlight MT Light"/>
          <w:i/>
          <w:sz w:val="24"/>
          <w:szCs w:val="24"/>
        </w:rPr>
        <w:t>H. Pylori</w:t>
      </w:r>
      <w:r>
        <w:rPr>
          <w:rFonts w:ascii="Footlight MT Light" w:hAnsi="Footlight MT Light"/>
          <w:sz w:val="24"/>
          <w:szCs w:val="24"/>
        </w:rPr>
        <w:t xml:space="preserve"> May also be associated with some autoimmune diseases, dietary factors, meds, alcohol, smoking, or chronic reflux of pancreatic secretions or bile</w:t>
      </w:r>
      <w:r w:rsidR="00072D3C">
        <w:rPr>
          <w:rFonts w:ascii="Footlight MT Light" w:hAnsi="Footlight MT Light"/>
          <w:sz w:val="24"/>
          <w:szCs w:val="24"/>
        </w:rPr>
        <w:t xml:space="preserve">; </w:t>
      </w:r>
      <w:r w:rsidR="00CC5C73">
        <w:rPr>
          <w:rFonts w:ascii="Footlight MT Light" w:hAnsi="Footlight MT Light"/>
          <w:sz w:val="24"/>
          <w:szCs w:val="24"/>
        </w:rPr>
        <w:t>manifestations</w:t>
      </w:r>
      <w:r w:rsidR="00072D3C">
        <w:rPr>
          <w:rFonts w:ascii="Footlight MT Light" w:hAnsi="Footlight MT Light"/>
          <w:sz w:val="24"/>
          <w:szCs w:val="24"/>
        </w:rPr>
        <w:t xml:space="preserve"> include: epigastric discomfort, anorexia, heartburn after eating, belching, sour taste in the </w:t>
      </w:r>
      <w:r w:rsidR="00CC5C73">
        <w:rPr>
          <w:rFonts w:ascii="Footlight MT Light" w:hAnsi="Footlight MT Light"/>
          <w:sz w:val="24"/>
          <w:szCs w:val="24"/>
        </w:rPr>
        <w:t>mouth</w:t>
      </w:r>
      <w:r w:rsidR="00072D3C">
        <w:rPr>
          <w:rFonts w:ascii="Footlight MT Light" w:hAnsi="Footlight MT Light"/>
          <w:sz w:val="24"/>
          <w:szCs w:val="24"/>
        </w:rPr>
        <w:t xml:space="preserve">, n/v, intolerance of some foods, may have a vitB12 </w:t>
      </w:r>
      <w:r w:rsidR="00CC5C73">
        <w:rPr>
          <w:rFonts w:ascii="Footlight MT Light" w:hAnsi="Footlight MT Light"/>
          <w:sz w:val="24"/>
          <w:szCs w:val="24"/>
        </w:rPr>
        <w:t>deficiently</w:t>
      </w:r>
      <w:r w:rsidR="00072D3C">
        <w:rPr>
          <w:rFonts w:ascii="Footlight MT Light" w:hAnsi="Footlight MT Light"/>
          <w:sz w:val="24"/>
          <w:szCs w:val="24"/>
        </w:rPr>
        <w:t xml:space="preserve"> d/t malabsorbtion of B12; management includes: modifying diet, promote rest, reduce stress, avoid alcohol and NSAIDS, pharmacological therapy (see table 37-1).</w:t>
      </w:r>
    </w:p>
    <w:p w:rsidR="00072D3C" w:rsidRDefault="00072D3C" w:rsidP="004B44F1">
      <w:pPr>
        <w:pStyle w:val="ListParagraph"/>
        <w:numPr>
          <w:ilvl w:val="0"/>
          <w:numId w:val="3"/>
        </w:numPr>
        <w:rPr>
          <w:rFonts w:ascii="Footlight MT Light" w:hAnsi="Footlight MT Light"/>
          <w:sz w:val="24"/>
          <w:szCs w:val="24"/>
        </w:rPr>
      </w:pPr>
      <w:r>
        <w:rPr>
          <w:rFonts w:ascii="Footlight MT Light" w:hAnsi="Footlight MT Light"/>
          <w:sz w:val="24"/>
          <w:szCs w:val="24"/>
        </w:rPr>
        <w:t>Explain management of gastritis (answered above)</w:t>
      </w:r>
    </w:p>
    <w:p w:rsidR="00072D3C" w:rsidRDefault="00072D3C" w:rsidP="004B44F1">
      <w:pPr>
        <w:pStyle w:val="ListParagraph"/>
        <w:numPr>
          <w:ilvl w:val="0"/>
          <w:numId w:val="3"/>
        </w:numPr>
        <w:rPr>
          <w:rFonts w:ascii="Footlight MT Light" w:hAnsi="Footlight MT Light"/>
          <w:sz w:val="24"/>
          <w:szCs w:val="24"/>
        </w:rPr>
      </w:pPr>
      <w:r>
        <w:rPr>
          <w:rFonts w:ascii="Footlight MT Light" w:hAnsi="Footlight MT Light"/>
          <w:sz w:val="24"/>
          <w:szCs w:val="24"/>
        </w:rPr>
        <w:t>Answer r/t peptic ulcers, other part of study guide</w:t>
      </w:r>
    </w:p>
    <w:p w:rsidR="00072D3C" w:rsidRDefault="00072D3C" w:rsidP="00072D3C">
      <w:pPr>
        <w:pStyle w:val="ListParagraph"/>
        <w:numPr>
          <w:ilvl w:val="0"/>
          <w:numId w:val="3"/>
        </w:numPr>
        <w:rPr>
          <w:rFonts w:ascii="Footlight MT Light" w:hAnsi="Footlight MT Light"/>
          <w:sz w:val="24"/>
          <w:szCs w:val="24"/>
        </w:rPr>
      </w:pPr>
      <w:r>
        <w:rPr>
          <w:rFonts w:ascii="Footlight MT Light" w:hAnsi="Footlight MT Light"/>
          <w:sz w:val="24"/>
          <w:szCs w:val="24"/>
        </w:rPr>
        <w:t>Explain the nursing management of pt.’s who undergo surgical procedures to tx obesity: Preoperative assessment prioritizes nutrition and recent weight changes, postoperative assessment prioritizes complications such as hemorrhage, infection, abd. Distention, atelectasis, or impaired nutritional status; interventions are aimed at: reducing anxiety, relieving pain, providing teaching, resuming enteral intake; obstacles to nutrition include dysphagia, gastric retention, bile reflux, dumping syndrome, and dietary deficiencies.</w:t>
      </w:r>
    </w:p>
    <w:p w:rsidR="00072D3C" w:rsidRDefault="00072D3C" w:rsidP="00072D3C">
      <w:pPr>
        <w:ind w:left="720"/>
        <w:rPr>
          <w:rFonts w:ascii="Footlight MT Light" w:hAnsi="Footlight MT Light"/>
          <w:sz w:val="24"/>
          <w:szCs w:val="24"/>
          <w:u w:val="single"/>
        </w:rPr>
      </w:pPr>
      <w:r>
        <w:rPr>
          <w:rFonts w:ascii="Footlight MT Light" w:hAnsi="Footlight MT Light"/>
          <w:sz w:val="24"/>
          <w:szCs w:val="24"/>
          <w:u w:val="single"/>
        </w:rPr>
        <w:lastRenderedPageBreak/>
        <w:t>Chapter 38</w:t>
      </w:r>
    </w:p>
    <w:p w:rsidR="00072D3C" w:rsidRDefault="00072D3C" w:rsidP="00072D3C">
      <w:pPr>
        <w:ind w:left="720"/>
        <w:rPr>
          <w:rFonts w:ascii="Footlight MT Light" w:hAnsi="Footlight MT Light"/>
          <w:sz w:val="24"/>
          <w:szCs w:val="24"/>
        </w:rPr>
      </w:pPr>
      <w:r>
        <w:rPr>
          <w:rFonts w:ascii="Footlight MT Light" w:hAnsi="Footlight MT Light"/>
          <w:sz w:val="24"/>
          <w:szCs w:val="24"/>
        </w:rPr>
        <w:t xml:space="preserve">1)Examine the health care learning needs of pt.’s with constipation or diarrhea or fecal incontinence: </w:t>
      </w:r>
      <w:r w:rsidR="008B7FC6">
        <w:rPr>
          <w:rFonts w:ascii="Footlight MT Light" w:hAnsi="Footlight MT Light"/>
          <w:sz w:val="24"/>
          <w:szCs w:val="24"/>
        </w:rPr>
        <w:t xml:space="preserve">Constipation: abnormal infrequency or irregularity of defecation, causes include meds, chronic laxative use, weakness, immobility, </w:t>
      </w:r>
      <w:r w:rsidR="00CC5C73">
        <w:rPr>
          <w:rFonts w:ascii="Footlight MT Light" w:hAnsi="Footlight MT Light"/>
          <w:sz w:val="24"/>
          <w:szCs w:val="24"/>
        </w:rPr>
        <w:t>fatigue</w:t>
      </w:r>
      <w:r w:rsidR="008B7FC6">
        <w:rPr>
          <w:rFonts w:ascii="Footlight MT Light" w:hAnsi="Footlight MT Light"/>
          <w:sz w:val="24"/>
          <w:szCs w:val="24"/>
        </w:rPr>
        <w:t xml:space="preserve">, inability to increase intra-abdominal pressure, diet, ignoring urge to defecate, and lack or regular exercise, increased risk with older age, perceived constipation= a </w:t>
      </w:r>
      <w:r w:rsidR="00CC5C73">
        <w:rPr>
          <w:rFonts w:ascii="Footlight MT Light" w:hAnsi="Footlight MT Light"/>
          <w:sz w:val="24"/>
          <w:szCs w:val="24"/>
        </w:rPr>
        <w:t>subjective</w:t>
      </w:r>
      <w:r w:rsidR="008B7FC6">
        <w:rPr>
          <w:rFonts w:ascii="Footlight MT Light" w:hAnsi="Footlight MT Light"/>
          <w:sz w:val="24"/>
          <w:szCs w:val="24"/>
        </w:rPr>
        <w:t xml:space="preserve"> problem in which the person’s elimination pattern is not consistent with what he/she believes is  normal. Diarrhea: increased frequency of bowel movements (&gt; 3/day)increase amt of stool (&gt; 200 g/ day) and altered consistency (looseness) of stool, usually associated with urgency, perianal discomfort, incontinence, or a combination of these </w:t>
      </w:r>
      <w:r w:rsidR="00CC5C73">
        <w:rPr>
          <w:rFonts w:ascii="Footlight MT Light" w:hAnsi="Footlight MT Light"/>
          <w:sz w:val="24"/>
          <w:szCs w:val="24"/>
        </w:rPr>
        <w:t>facts</w:t>
      </w:r>
      <w:r w:rsidR="008B7FC6">
        <w:rPr>
          <w:rFonts w:ascii="Footlight MT Light" w:hAnsi="Footlight MT Light"/>
          <w:sz w:val="24"/>
          <w:szCs w:val="24"/>
        </w:rPr>
        <w:t xml:space="preserve">, may be acute or chronic, causes indicate infection, meds, tube feeding formulas, </w:t>
      </w:r>
      <w:r w:rsidR="00CC5C73">
        <w:rPr>
          <w:rFonts w:ascii="Footlight MT Light" w:hAnsi="Footlight MT Light"/>
          <w:sz w:val="24"/>
          <w:szCs w:val="24"/>
        </w:rPr>
        <w:t>metabolic</w:t>
      </w:r>
      <w:r w:rsidR="008B7FC6">
        <w:rPr>
          <w:rFonts w:ascii="Footlight MT Light" w:hAnsi="Footlight MT Light"/>
          <w:sz w:val="24"/>
          <w:szCs w:val="24"/>
        </w:rPr>
        <w:t xml:space="preserve"> and endocrine disorders and various disease processes.  Fecal incontinence: the involuntary passage of stool from the rectum, identification of the underlying cause is </w:t>
      </w:r>
      <w:r w:rsidR="00CC5C73">
        <w:rPr>
          <w:rFonts w:ascii="Footlight MT Light" w:hAnsi="Footlight MT Light"/>
          <w:sz w:val="24"/>
          <w:szCs w:val="24"/>
        </w:rPr>
        <w:t>vital</w:t>
      </w:r>
      <w:r w:rsidR="008B7FC6">
        <w:rPr>
          <w:rFonts w:ascii="Footlight MT Light" w:hAnsi="Footlight MT Light"/>
          <w:sz w:val="24"/>
          <w:szCs w:val="24"/>
        </w:rPr>
        <w:t xml:space="preserve">, </w:t>
      </w:r>
      <w:r w:rsidR="00CC5C73">
        <w:rPr>
          <w:rFonts w:ascii="Footlight MT Light" w:hAnsi="Footlight MT Light"/>
          <w:sz w:val="24"/>
          <w:szCs w:val="24"/>
        </w:rPr>
        <w:t>priorities</w:t>
      </w:r>
      <w:r w:rsidR="008B7FC6">
        <w:rPr>
          <w:rFonts w:ascii="Footlight MT Light" w:hAnsi="Footlight MT Light"/>
          <w:sz w:val="24"/>
          <w:szCs w:val="24"/>
        </w:rPr>
        <w:t xml:space="preserve"> for nursing care include bowel retraining (when possible) and meticulous skin care.</w:t>
      </w:r>
    </w:p>
    <w:p w:rsidR="008B7FC6" w:rsidRDefault="008B7FC6" w:rsidP="00072D3C">
      <w:pPr>
        <w:ind w:left="720"/>
        <w:rPr>
          <w:rFonts w:ascii="Footlight MT Light" w:hAnsi="Footlight MT Light"/>
          <w:sz w:val="24"/>
          <w:szCs w:val="24"/>
        </w:rPr>
      </w:pPr>
      <w:r>
        <w:rPr>
          <w:rFonts w:ascii="Footlight MT Light" w:hAnsi="Footlight MT Light"/>
          <w:sz w:val="24"/>
          <w:szCs w:val="24"/>
        </w:rPr>
        <w:t>2) Answered above</w:t>
      </w:r>
    </w:p>
    <w:p w:rsidR="008B7FC6" w:rsidRDefault="008B7FC6" w:rsidP="00072D3C">
      <w:pPr>
        <w:ind w:left="720"/>
        <w:rPr>
          <w:rFonts w:ascii="Footlight MT Light" w:hAnsi="Footlight MT Light"/>
          <w:sz w:val="24"/>
          <w:szCs w:val="24"/>
        </w:rPr>
      </w:pPr>
      <w:r>
        <w:rPr>
          <w:rFonts w:ascii="Footlight MT Light" w:hAnsi="Footlight MT Light"/>
          <w:sz w:val="24"/>
          <w:szCs w:val="24"/>
        </w:rPr>
        <w:t xml:space="preserve">3) Examine the diverticular disease and the care of pt’s with </w:t>
      </w:r>
      <w:r w:rsidR="00CC5C73">
        <w:rPr>
          <w:rFonts w:ascii="Footlight MT Light" w:hAnsi="Footlight MT Light"/>
          <w:sz w:val="24"/>
          <w:szCs w:val="24"/>
        </w:rPr>
        <w:t>diverticulitis</w:t>
      </w:r>
      <w:r>
        <w:rPr>
          <w:rFonts w:ascii="Footlight MT Light" w:hAnsi="Footlight MT Light"/>
          <w:sz w:val="24"/>
          <w:szCs w:val="24"/>
        </w:rPr>
        <w:t xml:space="preserve">: Diverticulum: a sac like herniation of the lining of the bowel that extends through a defect in the muscle layer, pouches in large intestine, food gets trapped and can rupture, can be fatal, can result from a diet in bulky foods; diverticulosis: multiple diverticula are present without inflammation or symptoms; diverticulitis: food and </w:t>
      </w:r>
      <w:r w:rsidR="00CC5C73">
        <w:rPr>
          <w:rFonts w:ascii="Footlight MT Light" w:hAnsi="Footlight MT Light"/>
          <w:sz w:val="24"/>
          <w:szCs w:val="24"/>
        </w:rPr>
        <w:t>bacteria</w:t>
      </w:r>
      <w:r>
        <w:rPr>
          <w:rFonts w:ascii="Footlight MT Light" w:hAnsi="Footlight MT Light"/>
          <w:sz w:val="24"/>
          <w:szCs w:val="24"/>
        </w:rPr>
        <w:t xml:space="preserve"> retained in a diverticulum </w:t>
      </w:r>
      <w:r w:rsidR="00CC5C73">
        <w:rPr>
          <w:rFonts w:ascii="Footlight MT Light" w:hAnsi="Footlight MT Light"/>
          <w:sz w:val="24"/>
          <w:szCs w:val="24"/>
        </w:rPr>
        <w:t>produce</w:t>
      </w:r>
      <w:r>
        <w:rPr>
          <w:rFonts w:ascii="Footlight MT Light" w:hAnsi="Footlight MT Light"/>
          <w:sz w:val="24"/>
          <w:szCs w:val="24"/>
        </w:rPr>
        <w:t xml:space="preserve"> infection and inflammation; can usually be tx on an </w:t>
      </w:r>
      <w:r w:rsidR="00CC5C73">
        <w:rPr>
          <w:rFonts w:ascii="Footlight MT Light" w:hAnsi="Footlight MT Light"/>
          <w:sz w:val="24"/>
          <w:szCs w:val="24"/>
        </w:rPr>
        <w:t>output</w:t>
      </w:r>
      <w:r>
        <w:rPr>
          <w:rFonts w:ascii="Footlight MT Light" w:hAnsi="Footlight MT Light"/>
          <w:sz w:val="24"/>
          <w:szCs w:val="24"/>
        </w:rPr>
        <w:t xml:space="preserve"> basis with diet and modification, in acute cases with significant symptoms, hospitalization and surgery may be required</w:t>
      </w:r>
    </w:p>
    <w:p w:rsidR="008B7FC6" w:rsidRDefault="008B7FC6" w:rsidP="00072D3C">
      <w:pPr>
        <w:ind w:left="720"/>
        <w:rPr>
          <w:rFonts w:ascii="Footlight MT Light" w:hAnsi="Footlight MT Light"/>
          <w:sz w:val="24"/>
          <w:szCs w:val="24"/>
        </w:rPr>
      </w:pPr>
      <w:r>
        <w:rPr>
          <w:rFonts w:ascii="Footlight MT Light" w:hAnsi="Footlight MT Light"/>
          <w:sz w:val="24"/>
          <w:szCs w:val="24"/>
        </w:rPr>
        <w:t xml:space="preserve">4) </w:t>
      </w:r>
      <w:r w:rsidR="0073176E">
        <w:rPr>
          <w:rFonts w:ascii="Footlight MT Light" w:hAnsi="Footlight MT Light"/>
          <w:sz w:val="24"/>
          <w:szCs w:val="24"/>
        </w:rPr>
        <w:t>Answered in other part of study guide (r/t ulcerative colitis)</w:t>
      </w:r>
    </w:p>
    <w:p w:rsidR="0073176E" w:rsidRDefault="0073176E" w:rsidP="00072D3C">
      <w:pPr>
        <w:ind w:left="720"/>
        <w:rPr>
          <w:rFonts w:ascii="Footlight MT Light" w:hAnsi="Footlight MT Light"/>
          <w:sz w:val="24"/>
          <w:szCs w:val="24"/>
        </w:rPr>
      </w:pPr>
      <w:r>
        <w:rPr>
          <w:rFonts w:ascii="Footlight MT Light" w:hAnsi="Footlight MT Light"/>
          <w:sz w:val="24"/>
          <w:szCs w:val="24"/>
        </w:rPr>
        <w:t>5) Answered in other part of study guide (r/t IBS)</w:t>
      </w:r>
    </w:p>
    <w:p w:rsidR="0073176E" w:rsidRDefault="0073176E" w:rsidP="00072D3C">
      <w:pPr>
        <w:ind w:left="720"/>
        <w:rPr>
          <w:rFonts w:ascii="Footlight MT Light" w:hAnsi="Footlight MT Light"/>
          <w:sz w:val="24"/>
          <w:szCs w:val="24"/>
        </w:rPr>
      </w:pPr>
      <w:r>
        <w:rPr>
          <w:rFonts w:ascii="Footlight MT Light" w:hAnsi="Footlight MT Light"/>
          <w:sz w:val="24"/>
          <w:szCs w:val="24"/>
        </w:rPr>
        <w:t>6) Examine the responsibilities of the nurse in meeting the needs of the patient with an ileostomy: emptied every 24 hours, advise pt.’s to avoid tough of high fiber foods that are hard to digest in small intestine and may cause blockages of discomfort when passing through stoma.</w:t>
      </w:r>
    </w:p>
    <w:p w:rsidR="0073176E" w:rsidRDefault="0073176E" w:rsidP="00072D3C">
      <w:pPr>
        <w:ind w:left="720"/>
        <w:rPr>
          <w:rFonts w:ascii="Footlight MT Light" w:hAnsi="Footlight MT Light"/>
          <w:sz w:val="24"/>
          <w:szCs w:val="24"/>
        </w:rPr>
      </w:pPr>
      <w:r>
        <w:rPr>
          <w:rFonts w:ascii="Footlight MT Light" w:hAnsi="Footlight MT Light"/>
          <w:sz w:val="24"/>
          <w:szCs w:val="24"/>
        </w:rPr>
        <w:t xml:space="preserve">7) Explain the various types of intestinal obstructions, as well as their medical and nursing management: An intestinal instruction is an </w:t>
      </w:r>
      <w:r w:rsidR="00CC5C73">
        <w:rPr>
          <w:rFonts w:ascii="Footlight MT Light" w:hAnsi="Footlight MT Light"/>
          <w:sz w:val="24"/>
          <w:szCs w:val="24"/>
        </w:rPr>
        <w:t>emergency</w:t>
      </w:r>
      <w:r>
        <w:rPr>
          <w:rFonts w:ascii="Footlight MT Light" w:hAnsi="Footlight MT Light"/>
          <w:sz w:val="24"/>
          <w:szCs w:val="24"/>
        </w:rPr>
        <w:t xml:space="preserve">, because if the problem is not fixed soon, pt. will lose that part of intestine that obstruction is occurring in; may occur in the small bowel or large bowel, small bowel obstruction has a more rapid onset and is treated with nasogastric decompression, large bowel obstruction has a more gradual onset and may require the creation of a </w:t>
      </w:r>
      <w:r w:rsidR="00CC5C73">
        <w:rPr>
          <w:rFonts w:ascii="Footlight MT Light" w:hAnsi="Footlight MT Light"/>
          <w:sz w:val="24"/>
          <w:szCs w:val="24"/>
        </w:rPr>
        <w:t>colostomy</w:t>
      </w:r>
      <w:r>
        <w:rPr>
          <w:rFonts w:ascii="Footlight MT Light" w:hAnsi="Footlight MT Light"/>
          <w:sz w:val="24"/>
          <w:szCs w:val="24"/>
        </w:rPr>
        <w:t>.</w:t>
      </w:r>
    </w:p>
    <w:p w:rsidR="0073176E" w:rsidRDefault="0073176E" w:rsidP="00072D3C">
      <w:pPr>
        <w:ind w:left="720"/>
        <w:rPr>
          <w:rFonts w:ascii="Footlight MT Light" w:hAnsi="Footlight MT Light"/>
          <w:sz w:val="24"/>
          <w:szCs w:val="24"/>
        </w:rPr>
      </w:pPr>
      <w:r>
        <w:rPr>
          <w:rFonts w:ascii="Footlight MT Light" w:hAnsi="Footlight MT Light"/>
          <w:sz w:val="24"/>
          <w:szCs w:val="24"/>
        </w:rPr>
        <w:t>8) Answered in other part of study guide (r/t colorectal cancer)</w:t>
      </w:r>
    </w:p>
    <w:p w:rsidR="0073176E" w:rsidRDefault="0073176E" w:rsidP="00072D3C">
      <w:pPr>
        <w:ind w:left="720"/>
        <w:rPr>
          <w:rFonts w:ascii="Footlight MT Light" w:hAnsi="Footlight MT Light"/>
          <w:sz w:val="24"/>
          <w:szCs w:val="24"/>
        </w:rPr>
      </w:pPr>
      <w:r>
        <w:rPr>
          <w:rFonts w:ascii="Footlight MT Light" w:hAnsi="Footlight MT Light"/>
          <w:sz w:val="24"/>
          <w:szCs w:val="24"/>
        </w:rPr>
        <w:lastRenderedPageBreak/>
        <w:t xml:space="preserve">9) Explain anorectal conditions including fissures, fistulas, hemorrhoids, and sexually transmitted anorectal diseases: </w:t>
      </w:r>
      <w:r w:rsidR="00CC5C73">
        <w:rPr>
          <w:rFonts w:ascii="Footlight MT Light" w:hAnsi="Footlight MT Light"/>
          <w:sz w:val="24"/>
          <w:szCs w:val="24"/>
        </w:rPr>
        <w:t>Fissures/fistulas: epithelized surface of anal canal that accumulates pus and is painful; hemorrhoids: vascular structures in anal canal which help with stool control, become pathological when swollen/inflamed, internal hemorrhoid present usually with painless rectal bleeding and external hemorrhoids present with pain in area of anus; sexually transmitted anorectal diseases: gonorrhea, syphilis, and HIV</w:t>
      </w:r>
    </w:p>
    <w:p w:rsidR="00CC5C73" w:rsidRPr="00072D3C" w:rsidRDefault="00CC5C73" w:rsidP="00072D3C">
      <w:pPr>
        <w:ind w:left="720"/>
        <w:rPr>
          <w:rFonts w:ascii="Footlight MT Light" w:hAnsi="Footlight MT Light"/>
          <w:sz w:val="24"/>
          <w:szCs w:val="24"/>
        </w:rPr>
      </w:pPr>
      <w:r>
        <w:rPr>
          <w:rFonts w:ascii="Footlight MT Light" w:hAnsi="Footlight MT Light"/>
          <w:sz w:val="24"/>
          <w:szCs w:val="24"/>
        </w:rPr>
        <w:t>Diagnostic studies: bowel prep.: cleansing</w:t>
      </w:r>
      <w:bookmarkStart w:id="0" w:name="_GoBack"/>
      <w:bookmarkEnd w:id="0"/>
      <w:r>
        <w:rPr>
          <w:rFonts w:ascii="Footlight MT Light" w:hAnsi="Footlight MT Light"/>
          <w:sz w:val="24"/>
          <w:szCs w:val="24"/>
        </w:rPr>
        <w:t xml:space="preserve"> of intestine of fecal matter and secretions</w:t>
      </w:r>
    </w:p>
    <w:p w:rsidR="00072D3C" w:rsidRPr="004B44F1" w:rsidRDefault="00072D3C" w:rsidP="00072D3C">
      <w:pPr>
        <w:pStyle w:val="ListParagraph"/>
        <w:ind w:left="1080"/>
        <w:rPr>
          <w:rFonts w:ascii="Footlight MT Light" w:hAnsi="Footlight MT Light"/>
          <w:sz w:val="24"/>
          <w:szCs w:val="24"/>
        </w:rPr>
      </w:pPr>
    </w:p>
    <w:p w:rsidR="004B44F1" w:rsidRPr="004B44F1" w:rsidRDefault="004B44F1" w:rsidP="004B44F1">
      <w:pPr>
        <w:ind w:left="720"/>
        <w:rPr>
          <w:rFonts w:ascii="Footlight MT Light" w:hAnsi="Footlight MT Light"/>
          <w:sz w:val="24"/>
          <w:szCs w:val="24"/>
        </w:rPr>
      </w:pPr>
    </w:p>
    <w:p w:rsidR="00960BA9" w:rsidRDefault="00960BA9" w:rsidP="00960BA9">
      <w:pPr>
        <w:rPr>
          <w:rFonts w:ascii="Footlight MT Light" w:hAnsi="Footlight MT Light"/>
          <w:sz w:val="24"/>
          <w:szCs w:val="24"/>
        </w:rPr>
      </w:pPr>
    </w:p>
    <w:p w:rsidR="00960BA9" w:rsidRDefault="00960BA9" w:rsidP="00960BA9">
      <w:pPr>
        <w:rPr>
          <w:rFonts w:ascii="Footlight MT Light" w:hAnsi="Footlight MT Light"/>
          <w:sz w:val="24"/>
          <w:szCs w:val="24"/>
        </w:rPr>
      </w:pPr>
    </w:p>
    <w:p w:rsidR="00960BA9" w:rsidRPr="00960BA9" w:rsidRDefault="00960BA9" w:rsidP="00960BA9">
      <w:pPr>
        <w:rPr>
          <w:rFonts w:ascii="Footlight MT Light" w:hAnsi="Footlight MT Light"/>
          <w:sz w:val="24"/>
          <w:szCs w:val="24"/>
        </w:rPr>
      </w:pPr>
    </w:p>
    <w:sectPr w:rsidR="00960BA9" w:rsidRPr="00960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B24AA"/>
    <w:multiLevelType w:val="hybridMultilevel"/>
    <w:tmpl w:val="7DA82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AA517E"/>
    <w:multiLevelType w:val="hybridMultilevel"/>
    <w:tmpl w:val="0F34A6AA"/>
    <w:lvl w:ilvl="0" w:tplc="1B4A5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043422"/>
    <w:multiLevelType w:val="hybridMultilevel"/>
    <w:tmpl w:val="83EEAB1C"/>
    <w:lvl w:ilvl="0" w:tplc="6A969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A9"/>
    <w:rsid w:val="00052E4A"/>
    <w:rsid w:val="00056E02"/>
    <w:rsid w:val="00072D3C"/>
    <w:rsid w:val="000B0046"/>
    <w:rsid w:val="004B44F1"/>
    <w:rsid w:val="0052636A"/>
    <w:rsid w:val="0073176E"/>
    <w:rsid w:val="008B7FC6"/>
    <w:rsid w:val="00960BA9"/>
    <w:rsid w:val="00CC5C73"/>
    <w:rsid w:val="00DF1C18"/>
    <w:rsid w:val="00F8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A9"/>
    <w:pPr>
      <w:ind w:left="720"/>
      <w:contextualSpacing/>
    </w:pPr>
  </w:style>
  <w:style w:type="paragraph" w:styleId="BalloonText">
    <w:name w:val="Balloon Text"/>
    <w:basedOn w:val="Normal"/>
    <w:link w:val="BalloonTextChar"/>
    <w:uiPriority w:val="99"/>
    <w:semiHidden/>
    <w:unhideWhenUsed/>
    <w:rsid w:val="00960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BA9"/>
    <w:rPr>
      <w:rFonts w:ascii="Tahoma" w:hAnsi="Tahoma" w:cs="Tahoma"/>
      <w:sz w:val="16"/>
      <w:szCs w:val="16"/>
    </w:rPr>
  </w:style>
  <w:style w:type="table" w:styleId="TableGrid">
    <w:name w:val="Table Grid"/>
    <w:basedOn w:val="TableNormal"/>
    <w:uiPriority w:val="59"/>
    <w:rsid w:val="00052E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A9"/>
    <w:pPr>
      <w:ind w:left="720"/>
      <w:contextualSpacing/>
    </w:pPr>
  </w:style>
  <w:style w:type="paragraph" w:styleId="BalloonText">
    <w:name w:val="Balloon Text"/>
    <w:basedOn w:val="Normal"/>
    <w:link w:val="BalloonTextChar"/>
    <w:uiPriority w:val="99"/>
    <w:semiHidden/>
    <w:unhideWhenUsed/>
    <w:rsid w:val="00960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BA9"/>
    <w:rPr>
      <w:rFonts w:ascii="Tahoma" w:hAnsi="Tahoma" w:cs="Tahoma"/>
      <w:sz w:val="16"/>
      <w:szCs w:val="16"/>
    </w:rPr>
  </w:style>
  <w:style w:type="table" w:styleId="TableGrid">
    <w:name w:val="Table Grid"/>
    <w:basedOn w:val="TableNormal"/>
    <w:uiPriority w:val="59"/>
    <w:rsid w:val="00052E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Carolyn</cp:lastModifiedBy>
  <cp:revision>1</cp:revision>
  <dcterms:created xsi:type="dcterms:W3CDTF">2012-07-06T01:21:00Z</dcterms:created>
  <dcterms:modified xsi:type="dcterms:W3CDTF">2012-07-06T03:06:00Z</dcterms:modified>
</cp:coreProperties>
</file>