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199" w:rsidRDefault="007F28B7" w:rsidP="00B56D0B">
      <w:pPr>
        <w:rPr>
          <w:b/>
        </w:rPr>
      </w:pPr>
      <w:bookmarkStart w:id="0" w:name="_GoBack"/>
      <w:r>
        <w:rPr>
          <w:rFonts w:ascii="Times New Roman" w:hAnsi="Times New Roman" w:cs="Times New Roman"/>
          <w:b/>
          <w:noProof/>
          <w:sz w:val="24"/>
          <w:szCs w:val="24"/>
        </w:rPr>
        <w:drawing>
          <wp:anchor distT="0" distB="0" distL="114300" distR="114300" simplePos="0" relativeHeight="251658240" behindDoc="1" locked="0" layoutInCell="1" allowOverlap="1" wp14:anchorId="253DA5C2" wp14:editId="490CC20B">
            <wp:simplePos x="0" y="0"/>
            <wp:positionH relativeFrom="column">
              <wp:posOffset>0</wp:posOffset>
            </wp:positionH>
            <wp:positionV relativeFrom="paragraph">
              <wp:posOffset>318770</wp:posOffset>
            </wp:positionV>
            <wp:extent cx="2243455" cy="2702560"/>
            <wp:effectExtent l="0" t="0" r="4445" b="2540"/>
            <wp:wrapTight wrapText="bothSides">
              <wp:wrapPolygon edited="0">
                <wp:start x="0" y="0"/>
                <wp:lineTo x="0" y="21468"/>
                <wp:lineTo x="21459" y="21468"/>
                <wp:lineTo x="214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ephaly.jpg"/>
                    <pic:cNvPicPr/>
                  </pic:nvPicPr>
                  <pic:blipFill>
                    <a:blip r:embed="rId8">
                      <a:extLst>
                        <a:ext uri="{28A0092B-C50C-407E-A947-70E740481C1C}">
                          <a14:useLocalDpi xmlns:a14="http://schemas.microsoft.com/office/drawing/2010/main" val="0"/>
                        </a:ext>
                      </a:extLst>
                    </a:blip>
                    <a:stretch>
                      <a:fillRect/>
                    </a:stretch>
                  </pic:blipFill>
                  <pic:spPr>
                    <a:xfrm>
                      <a:off x="0" y="0"/>
                      <a:ext cx="2243455" cy="2702560"/>
                    </a:xfrm>
                    <a:prstGeom prst="rect">
                      <a:avLst/>
                    </a:prstGeom>
                  </pic:spPr>
                </pic:pic>
              </a:graphicData>
            </a:graphic>
            <wp14:sizeRelH relativeFrom="page">
              <wp14:pctWidth>0</wp14:pctWidth>
            </wp14:sizeRelH>
            <wp14:sizeRelV relativeFrom="page">
              <wp14:pctHeight>0</wp14:pctHeight>
            </wp14:sizeRelV>
          </wp:anchor>
        </w:drawing>
      </w:r>
      <w:bookmarkEnd w:id="0"/>
    </w:p>
    <w:p w:rsidR="00557199" w:rsidRPr="00557199" w:rsidRDefault="00557199" w:rsidP="00B56D0B">
      <w:pPr>
        <w:rPr>
          <w:rFonts w:ascii="Times New Roman" w:hAnsi="Times New Roman" w:cs="Times New Roman"/>
          <w:b/>
          <w:sz w:val="24"/>
          <w:szCs w:val="24"/>
        </w:rPr>
      </w:pPr>
      <w:r w:rsidRPr="00557199">
        <w:rPr>
          <w:rFonts w:ascii="Times New Roman" w:hAnsi="Times New Roman" w:cs="Times New Roman"/>
          <w:b/>
          <w:sz w:val="24"/>
          <w:szCs w:val="24"/>
        </w:rPr>
        <w:t>Ancephaly-</w:t>
      </w:r>
      <w:r w:rsidRPr="00557199">
        <w:rPr>
          <w:rStyle w:val="ListParagraph"/>
          <w:rFonts w:ascii="Times New Roman" w:hAnsi="Times New Roman" w:cs="Times New Roman"/>
          <w:color w:val="000000"/>
          <w:sz w:val="24"/>
          <w:szCs w:val="24"/>
        </w:rPr>
        <w:t xml:space="preserve"> </w:t>
      </w:r>
      <w:r w:rsidRPr="00557199">
        <w:rPr>
          <w:rStyle w:val="apple-style-span"/>
          <w:rFonts w:ascii="Times New Roman" w:hAnsi="Times New Roman" w:cs="Times New Roman"/>
          <w:color w:val="000000"/>
          <w:sz w:val="24"/>
          <w:szCs w:val="24"/>
        </w:rPr>
        <w:t>Anencephaly is a serious developmental defect of the central nervous system in which the brain and cranial vault are grossly malformed. The cerebrum and cerebellum are reduced or absent, but the hindbrain is present. Anencephaly is a part of the</w:t>
      </w:r>
      <w:r w:rsidRPr="00557199">
        <w:rPr>
          <w:rStyle w:val="apple-converted-space"/>
          <w:rFonts w:ascii="Times New Roman" w:hAnsi="Times New Roman" w:cs="Times New Roman"/>
          <w:sz w:val="24"/>
          <w:szCs w:val="24"/>
        </w:rPr>
        <w:t> </w:t>
      </w:r>
      <w:hyperlink r:id="rId9" w:tgtFrame="_self" w:history="1">
        <w:r w:rsidRPr="00557199">
          <w:rPr>
            <w:rStyle w:val="Hyperlink"/>
            <w:rFonts w:ascii="Times New Roman" w:hAnsi="Times New Roman" w:cs="Times New Roman"/>
            <w:color w:val="auto"/>
            <w:sz w:val="24"/>
            <w:szCs w:val="24"/>
            <w:u w:val="none"/>
          </w:rPr>
          <w:t>neural tube defect (NTD)</w:t>
        </w:r>
      </w:hyperlink>
      <w:r w:rsidRPr="00557199">
        <w:rPr>
          <w:rStyle w:val="apple-converted-space"/>
          <w:rFonts w:ascii="Times New Roman" w:hAnsi="Times New Roman" w:cs="Times New Roman"/>
          <w:color w:val="000000"/>
          <w:sz w:val="24"/>
          <w:szCs w:val="24"/>
        </w:rPr>
        <w:t> </w:t>
      </w:r>
      <w:r w:rsidRPr="00557199">
        <w:rPr>
          <w:rStyle w:val="apple-style-span"/>
          <w:rFonts w:ascii="Times New Roman" w:hAnsi="Times New Roman" w:cs="Times New Roman"/>
          <w:color w:val="000000"/>
          <w:sz w:val="24"/>
          <w:szCs w:val="24"/>
        </w:rPr>
        <w:t>spectrum. This defect results when the neural tube fails to close during the third to fourth weeks of development, leading to fetal loss, stillbirth, or neonatal deat</w:t>
      </w:r>
      <w:r w:rsidRPr="00557199">
        <w:rPr>
          <w:rStyle w:val="apple-style-span"/>
          <w:rFonts w:ascii="Times New Roman" w:hAnsi="Times New Roman" w:cs="Times New Roman"/>
          <w:color w:val="000000"/>
          <w:sz w:val="24"/>
          <w:szCs w:val="24"/>
        </w:rPr>
        <w:t>h</w:t>
      </w:r>
    </w:p>
    <w:p w:rsidR="00557199" w:rsidRPr="00557199" w:rsidRDefault="00557199" w:rsidP="00B56D0B">
      <w:pPr>
        <w:rPr>
          <w:rFonts w:ascii="Times New Roman" w:hAnsi="Times New Roman" w:cs="Times New Roman"/>
          <w:b/>
          <w:sz w:val="24"/>
          <w:szCs w:val="24"/>
        </w:rPr>
      </w:pPr>
      <w:r w:rsidRPr="00557199">
        <w:rPr>
          <w:rFonts w:ascii="Times New Roman" w:hAnsi="Times New Roman" w:cs="Times New Roman"/>
          <w:b/>
          <w:sz w:val="24"/>
          <w:szCs w:val="24"/>
        </w:rPr>
        <w:t>Causes (Some sources consider the actual cause to be unknown)</w:t>
      </w:r>
    </w:p>
    <w:p w:rsidR="00557199" w:rsidRPr="00557199" w:rsidRDefault="00557199" w:rsidP="00557199">
      <w:pPr>
        <w:spacing w:after="180" w:line="240" w:lineRule="auto"/>
        <w:rPr>
          <w:rFonts w:ascii="Times New Roman" w:eastAsia="Times New Roman" w:hAnsi="Times New Roman" w:cs="Times New Roman"/>
          <w:color w:val="000000"/>
          <w:sz w:val="24"/>
          <w:szCs w:val="24"/>
        </w:rPr>
      </w:pPr>
      <w:r w:rsidRPr="00557199">
        <w:rPr>
          <w:rFonts w:ascii="Times New Roman" w:eastAsia="Times New Roman" w:hAnsi="Times New Roman" w:cs="Times New Roman"/>
          <w:color w:val="000000"/>
          <w:sz w:val="24"/>
          <w:szCs w:val="24"/>
        </w:rPr>
        <w:t>Anencephaly is usually an isolated birth defect and not associated with other malformations or anomalies. The vast majority of isolated anencephaly cases are multifactorial in their inheritance pattern, implicating multiple genes interacting with environmental agents and chance events.</w:t>
      </w:r>
    </w:p>
    <w:p w:rsidR="00557199" w:rsidRPr="00557199" w:rsidRDefault="00557199" w:rsidP="00557199">
      <w:pPr>
        <w:pBdr>
          <w:bottom w:val="dotted" w:sz="6" w:space="2" w:color="CBDABC"/>
        </w:pBdr>
        <w:spacing w:after="75" w:line="240" w:lineRule="auto"/>
        <w:outlineLvl w:val="2"/>
        <w:rPr>
          <w:rFonts w:ascii="Times New Roman" w:eastAsia="Times New Roman" w:hAnsi="Times New Roman" w:cs="Times New Roman"/>
          <w:b/>
          <w:bCs/>
          <w:color w:val="000000"/>
          <w:sz w:val="24"/>
          <w:szCs w:val="24"/>
        </w:rPr>
      </w:pPr>
      <w:r w:rsidRPr="00557199">
        <w:rPr>
          <w:rFonts w:ascii="Times New Roman" w:eastAsia="Times New Roman" w:hAnsi="Times New Roman" w:cs="Times New Roman"/>
          <w:b/>
          <w:bCs/>
          <w:color w:val="000000"/>
          <w:sz w:val="24"/>
          <w:szCs w:val="24"/>
        </w:rPr>
        <w:t>Inadequate folic acid</w:t>
      </w:r>
    </w:p>
    <w:p w:rsidR="00557199" w:rsidRPr="00557199" w:rsidRDefault="00557199" w:rsidP="00557199">
      <w:pPr>
        <w:spacing w:after="180" w:line="240" w:lineRule="auto"/>
        <w:rPr>
          <w:rFonts w:ascii="Times New Roman" w:eastAsia="Times New Roman" w:hAnsi="Times New Roman" w:cs="Times New Roman"/>
          <w:color w:val="000000"/>
          <w:sz w:val="24"/>
          <w:szCs w:val="24"/>
        </w:rPr>
      </w:pPr>
      <w:r w:rsidRPr="00557199">
        <w:rPr>
          <w:rFonts w:ascii="Times New Roman" w:eastAsia="Times New Roman" w:hAnsi="Times New Roman" w:cs="Times New Roman"/>
          <w:color w:val="000000"/>
          <w:sz w:val="24"/>
          <w:szCs w:val="24"/>
        </w:rPr>
        <w:t>Adequate folic acid consumption during pregnancy is protective against anencephaly. Exposure to agents that interfere with normal folate metabolism during the critical period of neural tube development (up to 6 weeks after last menstrual period) increases the likelihood of an NTD.</w:t>
      </w:r>
    </w:p>
    <w:p w:rsidR="00557199" w:rsidRPr="00557199" w:rsidRDefault="00557199" w:rsidP="00557199">
      <w:pPr>
        <w:spacing w:after="180" w:line="240" w:lineRule="auto"/>
        <w:rPr>
          <w:rFonts w:ascii="Times New Roman" w:eastAsia="Times New Roman" w:hAnsi="Times New Roman" w:cs="Times New Roman"/>
          <w:color w:val="000000"/>
          <w:sz w:val="24"/>
          <w:szCs w:val="24"/>
        </w:rPr>
      </w:pPr>
      <w:r w:rsidRPr="00557199">
        <w:rPr>
          <w:rFonts w:ascii="Times New Roman" w:eastAsia="Times New Roman" w:hAnsi="Times New Roman" w:cs="Times New Roman"/>
          <w:color w:val="000000"/>
          <w:sz w:val="24"/>
          <w:szCs w:val="24"/>
        </w:rPr>
        <w:t>Valproic acid, an anticonvulsant, and other antimetabolites of folic acid have been shown to increase the chance of an NTD when exposure occurs in early development. While these induced NTDs are usually spina bifida, the chance of anencephaly is probably increased as well.</w:t>
      </w:r>
    </w:p>
    <w:p w:rsidR="00557199" w:rsidRPr="00557199" w:rsidRDefault="00557199" w:rsidP="00557199">
      <w:pPr>
        <w:pBdr>
          <w:bottom w:val="dotted" w:sz="6" w:space="2" w:color="CBDABC"/>
        </w:pBdr>
        <w:spacing w:after="75" w:line="240" w:lineRule="auto"/>
        <w:outlineLvl w:val="2"/>
        <w:rPr>
          <w:rFonts w:ascii="Times New Roman" w:eastAsia="Times New Roman" w:hAnsi="Times New Roman" w:cs="Times New Roman"/>
          <w:b/>
          <w:bCs/>
          <w:color w:val="000000"/>
          <w:sz w:val="24"/>
          <w:szCs w:val="24"/>
        </w:rPr>
      </w:pPr>
      <w:r w:rsidRPr="00557199">
        <w:rPr>
          <w:rFonts w:ascii="Times New Roman" w:eastAsia="Times New Roman" w:hAnsi="Times New Roman" w:cs="Times New Roman"/>
          <w:b/>
          <w:bCs/>
          <w:color w:val="000000"/>
          <w:sz w:val="24"/>
          <w:szCs w:val="24"/>
        </w:rPr>
        <w:t>IDDM</w:t>
      </w:r>
    </w:p>
    <w:p w:rsidR="00557199" w:rsidRPr="00557199" w:rsidRDefault="00557199" w:rsidP="00557199">
      <w:pPr>
        <w:spacing w:after="180" w:line="240" w:lineRule="auto"/>
        <w:rPr>
          <w:rFonts w:ascii="Times New Roman" w:eastAsia="Times New Roman" w:hAnsi="Times New Roman" w:cs="Times New Roman"/>
          <w:color w:val="000000"/>
          <w:sz w:val="24"/>
          <w:szCs w:val="24"/>
        </w:rPr>
      </w:pPr>
      <w:r w:rsidRPr="00557199">
        <w:rPr>
          <w:rFonts w:ascii="Times New Roman" w:eastAsia="Times New Roman" w:hAnsi="Times New Roman" w:cs="Times New Roman"/>
          <w:color w:val="000000"/>
          <w:sz w:val="24"/>
          <w:szCs w:val="24"/>
        </w:rPr>
        <w:t>Maternal type 1, or pregestational insulin-dependent diabetes mellitus (IDDM), confers a significant increase in the risk for NTDs, and it also delays production of alpha-fetoprotein (AFP) during pregnancy. Maternal serum AFP is used as a screening test to detect NTDs, and adjustment of the expected values for AFP in maternal serum must be made if the patient is known to have IDDM. Presumably, well-controlled IDDM confers a lower risk for NTDs, while gestational diabetes does not appear to be associated with any significant increase in NTD risk. The degree of diabetic control is generally monitored using hemoglobin A1c levels.</w:t>
      </w:r>
    </w:p>
    <w:p w:rsidR="00557199" w:rsidRPr="00557199" w:rsidRDefault="00557199" w:rsidP="00557199">
      <w:pPr>
        <w:pBdr>
          <w:bottom w:val="dotted" w:sz="6" w:space="2" w:color="CBDABC"/>
        </w:pBdr>
        <w:spacing w:after="75" w:line="240" w:lineRule="auto"/>
        <w:outlineLvl w:val="2"/>
        <w:rPr>
          <w:rFonts w:ascii="Times New Roman" w:eastAsia="Times New Roman" w:hAnsi="Times New Roman" w:cs="Times New Roman"/>
          <w:b/>
          <w:bCs/>
          <w:color w:val="000000"/>
          <w:sz w:val="24"/>
          <w:szCs w:val="24"/>
        </w:rPr>
      </w:pPr>
      <w:r w:rsidRPr="00557199">
        <w:rPr>
          <w:rFonts w:ascii="Times New Roman" w:eastAsia="Times New Roman" w:hAnsi="Times New Roman" w:cs="Times New Roman"/>
          <w:b/>
          <w:bCs/>
          <w:color w:val="000000"/>
          <w:sz w:val="24"/>
          <w:szCs w:val="24"/>
        </w:rPr>
        <w:t>Maternal hyperthermia</w:t>
      </w:r>
    </w:p>
    <w:p w:rsidR="00557199" w:rsidRPr="00557199" w:rsidRDefault="00557199" w:rsidP="00557199">
      <w:pPr>
        <w:spacing w:after="180" w:line="240" w:lineRule="auto"/>
        <w:rPr>
          <w:rFonts w:ascii="Times New Roman" w:eastAsia="Times New Roman" w:hAnsi="Times New Roman" w:cs="Times New Roman"/>
          <w:color w:val="000000"/>
          <w:sz w:val="24"/>
          <w:szCs w:val="24"/>
        </w:rPr>
      </w:pPr>
      <w:r w:rsidRPr="00557199">
        <w:rPr>
          <w:rFonts w:ascii="Times New Roman" w:eastAsia="Times New Roman" w:hAnsi="Times New Roman" w:cs="Times New Roman"/>
          <w:color w:val="000000"/>
          <w:sz w:val="24"/>
          <w:szCs w:val="24"/>
        </w:rPr>
        <w:t>Maternal hyperthermia has been associated with an increased risk for NTD; therefore, pregnant women should avoid hot tubs and other environments that may induce transient hyperthermia. Similarly, maternal fever in early gestation also has been reported as a risk factor for anencephaly and other NTDs.</w:t>
      </w:r>
    </w:p>
    <w:p w:rsidR="00557199" w:rsidRPr="00557199" w:rsidRDefault="00557199" w:rsidP="00557199">
      <w:pPr>
        <w:pBdr>
          <w:bottom w:val="dotted" w:sz="6" w:space="2" w:color="CBDABC"/>
        </w:pBdr>
        <w:spacing w:after="75" w:line="240" w:lineRule="auto"/>
        <w:outlineLvl w:val="2"/>
        <w:rPr>
          <w:rFonts w:ascii="Times New Roman" w:eastAsia="Times New Roman" w:hAnsi="Times New Roman" w:cs="Times New Roman"/>
          <w:b/>
          <w:bCs/>
          <w:color w:val="000000"/>
          <w:sz w:val="24"/>
          <w:szCs w:val="24"/>
        </w:rPr>
      </w:pPr>
      <w:r w:rsidRPr="00557199">
        <w:rPr>
          <w:rFonts w:ascii="Times New Roman" w:eastAsia="Times New Roman" w:hAnsi="Times New Roman" w:cs="Times New Roman"/>
          <w:b/>
          <w:bCs/>
          <w:color w:val="000000"/>
          <w:sz w:val="24"/>
          <w:szCs w:val="24"/>
        </w:rPr>
        <w:t>Genetics</w:t>
      </w:r>
    </w:p>
    <w:p w:rsidR="00557199" w:rsidRPr="00557199" w:rsidRDefault="00557199" w:rsidP="00557199">
      <w:pPr>
        <w:spacing w:after="180" w:line="240" w:lineRule="auto"/>
        <w:rPr>
          <w:rFonts w:ascii="Times New Roman" w:eastAsia="Times New Roman" w:hAnsi="Times New Roman" w:cs="Times New Roman"/>
          <w:color w:val="000000"/>
          <w:sz w:val="24"/>
          <w:szCs w:val="24"/>
        </w:rPr>
      </w:pPr>
      <w:r w:rsidRPr="00557199">
        <w:rPr>
          <w:rFonts w:ascii="Times New Roman" w:eastAsia="Times New Roman" w:hAnsi="Times New Roman" w:cs="Times New Roman"/>
          <w:color w:val="000000"/>
          <w:sz w:val="24"/>
          <w:szCs w:val="24"/>
        </w:rPr>
        <w:lastRenderedPageBreak/>
        <w:t>While most NTDs are associated with a multifactorial model of inheritance, rare cases of NTDs are transmitted in an autosomal dominant or autosomal recessive manner in certain families. Such families may have children or fetuses with spina bifida, anencephaly, or other subtypes of NTDs. In families with a pedigree suggestive of autosomal dominant inheritance, reproduction is clearly only possible for the individuals with spina bifida, since death occurs early in the life of individuals with anencephaly.</w:t>
      </w:r>
    </w:p>
    <w:p w:rsidR="00557199" w:rsidRPr="00557199" w:rsidRDefault="00557199" w:rsidP="00557199">
      <w:pPr>
        <w:spacing w:after="180" w:line="240" w:lineRule="auto"/>
        <w:rPr>
          <w:rFonts w:ascii="Times New Roman" w:eastAsia="Times New Roman" w:hAnsi="Times New Roman" w:cs="Times New Roman"/>
          <w:color w:val="000000"/>
          <w:sz w:val="24"/>
          <w:szCs w:val="24"/>
        </w:rPr>
      </w:pPr>
      <w:r w:rsidRPr="00557199">
        <w:rPr>
          <w:rFonts w:ascii="Times New Roman" w:eastAsia="Times New Roman" w:hAnsi="Times New Roman" w:cs="Times New Roman"/>
          <w:color w:val="000000"/>
          <w:sz w:val="24"/>
          <w:szCs w:val="24"/>
        </w:rPr>
        <w:t>Anencephaly may be associated with the unbalanced form of a structural chromosome abnormality in some families. In these cases, other malformations and birth defects that are not usually found in isolated cases of anencephaly may be present.</w:t>
      </w:r>
    </w:p>
    <w:p w:rsidR="00557199" w:rsidRPr="00557199" w:rsidRDefault="00557199" w:rsidP="00557199">
      <w:pPr>
        <w:pBdr>
          <w:bottom w:val="dotted" w:sz="6" w:space="2" w:color="CBDABC"/>
        </w:pBdr>
        <w:spacing w:after="75" w:line="240" w:lineRule="auto"/>
        <w:outlineLvl w:val="2"/>
        <w:rPr>
          <w:rFonts w:ascii="Times New Roman" w:eastAsia="Times New Roman" w:hAnsi="Times New Roman" w:cs="Times New Roman"/>
          <w:b/>
          <w:bCs/>
          <w:color w:val="000000"/>
          <w:sz w:val="24"/>
          <w:szCs w:val="24"/>
        </w:rPr>
      </w:pPr>
      <w:r w:rsidRPr="00557199">
        <w:rPr>
          <w:rFonts w:ascii="Times New Roman" w:eastAsia="Times New Roman" w:hAnsi="Times New Roman" w:cs="Times New Roman"/>
          <w:b/>
          <w:bCs/>
          <w:color w:val="000000"/>
          <w:sz w:val="24"/>
          <w:szCs w:val="24"/>
        </w:rPr>
        <w:t>Amniotic band disruption sequence</w:t>
      </w:r>
    </w:p>
    <w:p w:rsidR="00557199" w:rsidRPr="00557199" w:rsidRDefault="00557199" w:rsidP="00557199">
      <w:pPr>
        <w:spacing w:after="180" w:line="240" w:lineRule="auto"/>
        <w:rPr>
          <w:rFonts w:ascii="Times New Roman" w:eastAsia="Times New Roman" w:hAnsi="Times New Roman" w:cs="Times New Roman"/>
          <w:color w:val="000000"/>
          <w:sz w:val="24"/>
          <w:szCs w:val="24"/>
        </w:rPr>
      </w:pPr>
      <w:r w:rsidRPr="00557199">
        <w:rPr>
          <w:rFonts w:ascii="Times New Roman" w:eastAsia="Times New Roman" w:hAnsi="Times New Roman" w:cs="Times New Roman"/>
          <w:color w:val="000000"/>
          <w:sz w:val="24"/>
          <w:szCs w:val="24"/>
        </w:rPr>
        <w:t>Amniotic band disruption sequence is a condition resulting from rupture of the amniotic membranes. This can cause disruption of normally formed tissues during development, including the structures of the head and brain. Anencephaly caused by amniotic band disruption sequence is frequently distinguishable by the presence of remnants of the amniotic membrane. Recurrence risk for anencephaly caused by this mechanism is lower, and the risk is not modified by the use of folic acid.</w:t>
      </w:r>
    </w:p>
    <w:p w:rsidR="00557199" w:rsidRPr="00557199" w:rsidRDefault="00557199" w:rsidP="00B56D0B">
      <w:pPr>
        <w:rPr>
          <w:rStyle w:val="apple-style-span"/>
          <w:rFonts w:ascii="Times New Roman" w:hAnsi="Times New Roman" w:cs="Times New Roman"/>
          <w:color w:val="000000"/>
          <w:sz w:val="24"/>
          <w:szCs w:val="24"/>
        </w:rPr>
      </w:pPr>
    </w:p>
    <w:p w:rsidR="00557199" w:rsidRPr="00557199" w:rsidRDefault="00557199" w:rsidP="00B56D0B">
      <w:pPr>
        <w:rPr>
          <w:rFonts w:ascii="Times New Roman" w:hAnsi="Times New Roman" w:cs="Times New Roman"/>
          <w:b/>
          <w:sz w:val="24"/>
          <w:szCs w:val="24"/>
        </w:rPr>
      </w:pPr>
      <w:r w:rsidRPr="00557199">
        <w:rPr>
          <w:rFonts w:ascii="Times New Roman" w:hAnsi="Times New Roman" w:cs="Times New Roman"/>
          <w:b/>
          <w:sz w:val="24"/>
          <w:szCs w:val="24"/>
        </w:rPr>
        <w:t xml:space="preserve">Effects </w:t>
      </w:r>
    </w:p>
    <w:p w:rsidR="00557199" w:rsidRPr="00557199" w:rsidRDefault="00557199" w:rsidP="00557199">
      <w:pPr>
        <w:pStyle w:val="NormalWeb"/>
        <w:spacing w:before="0" w:beforeAutospacing="0" w:after="180" w:afterAutospacing="0"/>
        <w:rPr>
          <w:color w:val="000000"/>
        </w:rPr>
      </w:pPr>
      <w:r w:rsidRPr="00557199">
        <w:rPr>
          <w:color w:val="000000"/>
        </w:rPr>
        <w:t>Anencephaly is lethal in all cases because of the severe brain malformation that is present. A significant proportion of all anencephalic fetuses are stillborn or are aborted spontaneously.</w:t>
      </w:r>
    </w:p>
    <w:p w:rsidR="00557199" w:rsidRPr="00557199" w:rsidRDefault="00557199" w:rsidP="00557199">
      <w:pPr>
        <w:pStyle w:val="NormalWeb"/>
        <w:spacing w:before="0" w:beforeAutospacing="0" w:after="180" w:afterAutospacing="0"/>
        <w:rPr>
          <w:color w:val="000000"/>
        </w:rPr>
      </w:pPr>
      <w:r w:rsidRPr="00557199">
        <w:rPr>
          <w:color w:val="000000"/>
        </w:rPr>
        <w:t>The neonate's prognosis when born alive is exceptionally poor; death of a live child is unavoidable and most often occurs during the early</w:t>
      </w:r>
      <w:r w:rsidRPr="00557199">
        <w:rPr>
          <w:rStyle w:val="apple-converted-space"/>
          <w:color w:val="000000"/>
        </w:rPr>
        <w:t> </w:t>
      </w:r>
      <w:hyperlink r:id="rId10" w:tgtFrame="_self" w:history="1">
        <w:r w:rsidRPr="00557199">
          <w:rPr>
            <w:rStyle w:val="Hyperlink"/>
            <w:color w:val="auto"/>
            <w:u w:val="none"/>
          </w:rPr>
          <w:t>neonatal period</w:t>
        </w:r>
      </w:hyperlink>
      <w:r w:rsidRPr="00557199">
        <w:t>.</w:t>
      </w:r>
    </w:p>
    <w:p w:rsidR="00557199" w:rsidRPr="00557199" w:rsidRDefault="00557199" w:rsidP="00B56D0B">
      <w:pPr>
        <w:rPr>
          <w:rFonts w:ascii="Times New Roman" w:hAnsi="Times New Roman" w:cs="Times New Roman"/>
          <w:b/>
          <w:sz w:val="24"/>
          <w:szCs w:val="24"/>
        </w:rPr>
      </w:pPr>
    </w:p>
    <w:p w:rsidR="00B56D0B" w:rsidRPr="00557199" w:rsidRDefault="00B56D0B" w:rsidP="00B56D0B">
      <w:pPr>
        <w:rPr>
          <w:rFonts w:ascii="Times New Roman" w:hAnsi="Times New Roman" w:cs="Times New Roman"/>
          <w:b/>
          <w:sz w:val="24"/>
          <w:szCs w:val="24"/>
        </w:rPr>
      </w:pPr>
      <w:r w:rsidRPr="00557199">
        <w:rPr>
          <w:rFonts w:ascii="Times New Roman" w:hAnsi="Times New Roman" w:cs="Times New Roman"/>
          <w:b/>
          <w:sz w:val="24"/>
          <w:szCs w:val="24"/>
        </w:rPr>
        <w:t xml:space="preserve">Parkinson’s disease </w:t>
      </w:r>
      <w:r w:rsidRPr="00557199">
        <w:rPr>
          <w:rFonts w:ascii="Times New Roman" w:hAnsi="Times New Roman" w:cs="Times New Roman"/>
          <w:sz w:val="24"/>
          <w:szCs w:val="24"/>
        </w:rPr>
        <w:t xml:space="preserve"> (Lehne 182-197)– no cure, drug therapy prolongs, second most common neurological disorder in US (Alzheimer’s first); damage to extrapyramidal system, complex neural network regulating movement resulting in dykinesias (disruption of movement); proper functioning of stratium requires balance of dopamine and acetylcholine; dopamine is inhibitory and </w:t>
      </w:r>
      <w:r w:rsidR="00FD2E3B" w:rsidRPr="00557199">
        <w:rPr>
          <w:rFonts w:ascii="Times New Roman" w:hAnsi="Times New Roman" w:cs="Times New Roman"/>
          <w:sz w:val="24"/>
          <w:szCs w:val="24"/>
        </w:rPr>
        <w:t>acetylcholine</w:t>
      </w:r>
      <w:r w:rsidRPr="00557199">
        <w:rPr>
          <w:rFonts w:ascii="Times New Roman" w:hAnsi="Times New Roman" w:cs="Times New Roman"/>
          <w:sz w:val="24"/>
          <w:szCs w:val="24"/>
        </w:rPr>
        <w:t xml:space="preserve"> is excitatory; neurons supplying dopamine are in substantia negra, 70%-80% of neurons must be lost before clinically recognizable; loss </w:t>
      </w:r>
      <w:r w:rsidR="00FD2E3B" w:rsidRPr="00557199">
        <w:rPr>
          <w:rFonts w:ascii="Times New Roman" w:hAnsi="Times New Roman" w:cs="Times New Roman"/>
          <w:sz w:val="24"/>
          <w:szCs w:val="24"/>
        </w:rPr>
        <w:t>happens</w:t>
      </w:r>
      <w:r w:rsidRPr="00557199">
        <w:rPr>
          <w:rFonts w:ascii="Times New Roman" w:hAnsi="Times New Roman" w:cs="Times New Roman"/>
          <w:sz w:val="24"/>
          <w:szCs w:val="24"/>
        </w:rPr>
        <w:t xml:space="preserve"> 5-20 years before symptoms</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b/>
          <w:sz w:val="24"/>
          <w:szCs w:val="24"/>
        </w:rPr>
        <w:t xml:space="preserve">Signs </w:t>
      </w:r>
      <w:r w:rsidR="00FD2E3B" w:rsidRPr="00557199">
        <w:rPr>
          <w:rFonts w:ascii="Times New Roman" w:hAnsi="Times New Roman" w:cs="Times New Roman"/>
          <w:b/>
          <w:sz w:val="24"/>
          <w:szCs w:val="24"/>
        </w:rPr>
        <w:t>&amp; Symptoms</w:t>
      </w:r>
      <w:r w:rsidRPr="00557199">
        <w:rPr>
          <w:rFonts w:ascii="Times New Roman" w:hAnsi="Times New Roman" w:cs="Times New Roman"/>
          <w:b/>
          <w:sz w:val="24"/>
          <w:szCs w:val="24"/>
        </w:rPr>
        <w:t xml:space="preserve"> </w:t>
      </w:r>
      <w:r w:rsidRPr="00557199">
        <w:rPr>
          <w:rFonts w:ascii="Times New Roman" w:hAnsi="Times New Roman" w:cs="Times New Roman"/>
          <w:sz w:val="24"/>
          <w:szCs w:val="24"/>
        </w:rPr>
        <w:t xml:space="preserve">Cardinal symptoms: tremor, rigidity, postural instability, and slowed movement; also ninmotor symptoms </w:t>
      </w:r>
      <w:r w:rsidR="00FD2E3B" w:rsidRPr="00557199">
        <w:rPr>
          <w:rFonts w:ascii="Times New Roman" w:hAnsi="Times New Roman" w:cs="Times New Roman"/>
          <w:sz w:val="24"/>
          <w:szCs w:val="24"/>
        </w:rPr>
        <w:t>including autonomic</w:t>
      </w:r>
      <w:r w:rsidRPr="00557199">
        <w:rPr>
          <w:rFonts w:ascii="Times New Roman" w:hAnsi="Times New Roman" w:cs="Times New Roman"/>
          <w:sz w:val="24"/>
          <w:szCs w:val="24"/>
        </w:rPr>
        <w:t xml:space="preserve"> disturbances, depression</w:t>
      </w:r>
      <w:r w:rsidR="00FD2E3B" w:rsidRPr="00557199">
        <w:rPr>
          <w:rFonts w:ascii="Times New Roman" w:hAnsi="Times New Roman" w:cs="Times New Roman"/>
          <w:sz w:val="24"/>
          <w:szCs w:val="24"/>
        </w:rPr>
        <w:t>, psychosis</w:t>
      </w:r>
      <w:r w:rsidRPr="00557199">
        <w:rPr>
          <w:rFonts w:ascii="Times New Roman" w:hAnsi="Times New Roman" w:cs="Times New Roman"/>
          <w:sz w:val="24"/>
          <w:szCs w:val="24"/>
        </w:rPr>
        <w:t xml:space="preserve"> and dementia; severe PD bradyskinesia may be replaced with akinesia (complete absence of movement)</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b/>
          <w:sz w:val="24"/>
          <w:szCs w:val="24"/>
        </w:rPr>
        <w:t xml:space="preserve"> risk factors- </w:t>
      </w:r>
      <w:r w:rsidRPr="00557199">
        <w:rPr>
          <w:rFonts w:ascii="Times New Roman" w:hAnsi="Times New Roman" w:cs="Times New Roman"/>
          <w:sz w:val="24"/>
          <w:szCs w:val="24"/>
        </w:rPr>
        <w:t xml:space="preserve">No one knows for sure but evidence implies alpha synuclein, potentially toxic </w:t>
      </w:r>
      <w:r w:rsidR="00FD2E3B" w:rsidRPr="00557199">
        <w:rPr>
          <w:rFonts w:ascii="Times New Roman" w:hAnsi="Times New Roman" w:cs="Times New Roman"/>
          <w:sz w:val="24"/>
          <w:szCs w:val="24"/>
        </w:rPr>
        <w:t>protein made</w:t>
      </w:r>
      <w:r w:rsidRPr="00557199">
        <w:rPr>
          <w:rFonts w:ascii="Times New Roman" w:hAnsi="Times New Roman" w:cs="Times New Roman"/>
          <w:sz w:val="24"/>
          <w:szCs w:val="24"/>
        </w:rPr>
        <w:t xml:space="preserve"> by dopenergic receptors normally degrades by two other protein enzymes identified as defective genetic coding in families; Also caused by toxin in the environment; Drug induced </w:t>
      </w:r>
      <w:r w:rsidRPr="00557199">
        <w:rPr>
          <w:rFonts w:ascii="Times New Roman" w:hAnsi="Times New Roman" w:cs="Times New Roman"/>
          <w:sz w:val="24"/>
          <w:szCs w:val="24"/>
        </w:rPr>
        <w:lastRenderedPageBreak/>
        <w:t>Parkinsonism-extrapyramidal side effects caused by some drugs are similar to PD and can be treated with same drugs</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b/>
          <w:sz w:val="24"/>
          <w:szCs w:val="24"/>
        </w:rPr>
        <w:t xml:space="preserve">Alzheimer’s </w:t>
      </w:r>
      <w:r w:rsidR="00FD2E3B" w:rsidRPr="00557199">
        <w:rPr>
          <w:rFonts w:ascii="Times New Roman" w:hAnsi="Times New Roman" w:cs="Times New Roman"/>
          <w:b/>
          <w:sz w:val="24"/>
          <w:szCs w:val="24"/>
        </w:rPr>
        <w:t>disease (</w:t>
      </w:r>
      <w:r w:rsidRPr="00557199">
        <w:rPr>
          <w:rFonts w:ascii="Times New Roman" w:hAnsi="Times New Roman" w:cs="Times New Roman"/>
          <w:b/>
          <w:sz w:val="24"/>
          <w:szCs w:val="24"/>
        </w:rPr>
        <w:t>Lehne 198-205</w:t>
      </w:r>
      <w:r w:rsidR="00FD2E3B" w:rsidRPr="00557199">
        <w:rPr>
          <w:rFonts w:ascii="Times New Roman" w:hAnsi="Times New Roman" w:cs="Times New Roman"/>
          <w:b/>
          <w:sz w:val="24"/>
          <w:szCs w:val="24"/>
        </w:rPr>
        <w:t xml:space="preserve">) – </w:t>
      </w:r>
      <w:r w:rsidR="00FD2E3B" w:rsidRPr="00557199">
        <w:rPr>
          <w:rFonts w:ascii="Times New Roman" w:hAnsi="Times New Roman" w:cs="Times New Roman"/>
          <w:sz w:val="24"/>
          <w:szCs w:val="24"/>
        </w:rPr>
        <w:t>Neuronal</w:t>
      </w:r>
      <w:r w:rsidRPr="00557199">
        <w:rPr>
          <w:rFonts w:ascii="Times New Roman" w:hAnsi="Times New Roman" w:cs="Times New Roman"/>
          <w:sz w:val="24"/>
          <w:szCs w:val="24"/>
        </w:rPr>
        <w:t xml:space="preserve"> degeneration happens in the hypocampus (</w:t>
      </w:r>
      <w:r w:rsidR="00FD2E3B" w:rsidRPr="00557199">
        <w:rPr>
          <w:rFonts w:ascii="Times New Roman" w:hAnsi="Times New Roman" w:cs="Times New Roman"/>
          <w:sz w:val="24"/>
          <w:szCs w:val="24"/>
        </w:rPr>
        <w:t>memory</w:t>
      </w:r>
      <w:r w:rsidRPr="00557199">
        <w:rPr>
          <w:rFonts w:ascii="Times New Roman" w:hAnsi="Times New Roman" w:cs="Times New Roman"/>
          <w:sz w:val="24"/>
          <w:szCs w:val="24"/>
        </w:rPr>
        <w:t>) early in AD followed by degeneration in cerebral cortex (speech, perception and reasoning and higher functions)</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b/>
          <w:sz w:val="24"/>
          <w:szCs w:val="24"/>
        </w:rPr>
        <w:t xml:space="preserve">Signs </w:t>
      </w:r>
      <w:r w:rsidRPr="00557199">
        <w:rPr>
          <w:rFonts w:ascii="Times New Roman" w:hAnsi="Times New Roman" w:cs="Times New Roman"/>
          <w:sz w:val="24"/>
          <w:szCs w:val="24"/>
        </w:rPr>
        <w:t xml:space="preserve">&amp; </w:t>
      </w:r>
      <w:r w:rsidRPr="00557199">
        <w:rPr>
          <w:rFonts w:ascii="Times New Roman" w:hAnsi="Times New Roman" w:cs="Times New Roman"/>
          <w:b/>
          <w:sz w:val="24"/>
          <w:szCs w:val="24"/>
        </w:rPr>
        <w:t xml:space="preserve">symptoms- </w:t>
      </w:r>
      <w:r w:rsidRPr="00557199">
        <w:rPr>
          <w:rFonts w:ascii="Times New Roman" w:hAnsi="Times New Roman" w:cs="Times New Roman"/>
          <w:sz w:val="24"/>
          <w:szCs w:val="24"/>
        </w:rPr>
        <w:t xml:space="preserve">Progressive memory </w:t>
      </w:r>
      <w:r w:rsidR="00FD2E3B" w:rsidRPr="00557199">
        <w:rPr>
          <w:rFonts w:ascii="Times New Roman" w:hAnsi="Times New Roman" w:cs="Times New Roman"/>
          <w:sz w:val="24"/>
          <w:szCs w:val="24"/>
        </w:rPr>
        <w:t>loss, language</w:t>
      </w:r>
      <w:r w:rsidRPr="00557199">
        <w:rPr>
          <w:rFonts w:ascii="Times New Roman" w:hAnsi="Times New Roman" w:cs="Times New Roman"/>
          <w:sz w:val="24"/>
          <w:szCs w:val="24"/>
        </w:rPr>
        <w:t xml:space="preserve"> problems,  impaired thinking, neuropsychiatric syndromes (hallucinations, delusions), and inability to perform routine daily tasks of living; Severe symptoms: loss of speech, loss of bowel and bladder functions, complete inability for self-care, eventually decrease of brain function causes death; relentless progression: memory loss and confusion,  disoriented and get lost in familiar surroundings,  impaired </w:t>
      </w:r>
      <w:r w:rsidR="00FD2E3B" w:rsidRPr="00557199">
        <w:rPr>
          <w:rFonts w:ascii="Times New Roman" w:hAnsi="Times New Roman" w:cs="Times New Roman"/>
          <w:sz w:val="24"/>
          <w:szCs w:val="24"/>
        </w:rPr>
        <w:t>judgment</w:t>
      </w:r>
      <w:r w:rsidRPr="00557199">
        <w:rPr>
          <w:rFonts w:ascii="Times New Roman" w:hAnsi="Times New Roman" w:cs="Times New Roman"/>
          <w:sz w:val="24"/>
          <w:szCs w:val="24"/>
        </w:rPr>
        <w:t xml:space="preserve"> and </w:t>
      </w:r>
      <w:r w:rsidR="00FD2E3B" w:rsidRPr="00557199">
        <w:rPr>
          <w:rFonts w:ascii="Times New Roman" w:hAnsi="Times New Roman" w:cs="Times New Roman"/>
          <w:sz w:val="24"/>
          <w:szCs w:val="24"/>
        </w:rPr>
        <w:t>personality</w:t>
      </w:r>
      <w:r w:rsidRPr="00557199">
        <w:rPr>
          <w:rFonts w:ascii="Times New Roman" w:hAnsi="Times New Roman" w:cs="Times New Roman"/>
          <w:sz w:val="24"/>
          <w:szCs w:val="24"/>
        </w:rPr>
        <w:t xml:space="preserve"> change, 70%-90% develop behavioral problems (wandering, pacing, agitation, screaming), symptoms intensify in evening called </w:t>
      </w:r>
      <w:r w:rsidR="00FD2E3B" w:rsidRPr="00557199">
        <w:rPr>
          <w:rFonts w:ascii="Times New Roman" w:hAnsi="Times New Roman" w:cs="Times New Roman"/>
          <w:sz w:val="24"/>
          <w:szCs w:val="24"/>
        </w:rPr>
        <w:t>sun downing</w:t>
      </w:r>
      <w:r w:rsidRPr="00557199">
        <w:rPr>
          <w:rFonts w:ascii="Times New Roman" w:hAnsi="Times New Roman" w:cs="Times New Roman"/>
          <w:sz w:val="24"/>
          <w:szCs w:val="24"/>
        </w:rPr>
        <w:t>, final stages can’t recognize family of communicate, loss of identity, completely unable to care for selves,  onset to death may be 20yrs or 4-8yrs, NO TREATMENT FOR CORE SYMPTOMS</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b/>
          <w:sz w:val="24"/>
          <w:szCs w:val="24"/>
        </w:rPr>
        <w:t xml:space="preserve">risk factors- </w:t>
      </w:r>
      <w:r w:rsidRPr="00557199">
        <w:rPr>
          <w:rFonts w:ascii="Times New Roman" w:hAnsi="Times New Roman" w:cs="Times New Roman"/>
          <w:sz w:val="24"/>
          <w:szCs w:val="24"/>
        </w:rPr>
        <w:t>advancing age ((0% have onset at 65); can happen as young as 40; risk doubles every ten years after; family history is a risk; being female may be a risk (women als live longer than men); possible risks include: head injuries, low educational level, production of apoE4, high levels of homocysteine, low levels of folic acid and nicotine in cigarette smoke</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b/>
          <w:sz w:val="24"/>
          <w:szCs w:val="24"/>
        </w:rPr>
        <w:t xml:space="preserve">Multiple sclerosis (Lehne  206-217)– </w:t>
      </w:r>
      <w:r w:rsidRPr="00557199">
        <w:rPr>
          <w:rFonts w:ascii="Times New Roman" w:hAnsi="Times New Roman" w:cs="Times New Roman"/>
          <w:sz w:val="24"/>
          <w:szCs w:val="24"/>
        </w:rPr>
        <w:t>Chronic, inflammatory autoimmune disorder that destroys myelin sheath of nerves in CNS, causes sensory and motor deficits, course of disease unpredicatable and variable; begins with exacerbations relieved by remissions then advances; causes more disability than any other in young adults, life expectancy only slightly reduced, many lead normal lives; progression can be slowed with drugs, early detection and treatment significantly improves prognosis</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b/>
          <w:sz w:val="24"/>
          <w:szCs w:val="24"/>
        </w:rPr>
        <w:t>Subtypes-</w:t>
      </w:r>
      <w:r w:rsidRPr="00557199">
        <w:rPr>
          <w:rFonts w:ascii="Times New Roman" w:hAnsi="Times New Roman" w:cs="Times New Roman"/>
          <w:sz w:val="24"/>
          <w:szCs w:val="24"/>
        </w:rPr>
        <w:t xml:space="preserve">  4 subtypes:</w:t>
      </w:r>
    </w:p>
    <w:p w:rsidR="00B56D0B" w:rsidRPr="00557199" w:rsidRDefault="00B56D0B" w:rsidP="00B56D0B">
      <w:pPr>
        <w:pStyle w:val="ListParagraph"/>
        <w:numPr>
          <w:ilvl w:val="0"/>
          <w:numId w:val="1"/>
        </w:numPr>
        <w:rPr>
          <w:rFonts w:ascii="Times New Roman" w:hAnsi="Times New Roman" w:cs="Times New Roman"/>
          <w:sz w:val="24"/>
          <w:szCs w:val="24"/>
        </w:rPr>
      </w:pPr>
      <w:r w:rsidRPr="00557199">
        <w:rPr>
          <w:rFonts w:ascii="Times New Roman" w:hAnsi="Times New Roman" w:cs="Times New Roman"/>
          <w:sz w:val="24"/>
          <w:szCs w:val="24"/>
        </w:rPr>
        <w:t xml:space="preserve">Relapsing-Remitting MS-  characterized by recurrent, clearly defined episodes of </w:t>
      </w:r>
      <w:r w:rsidR="00FD2E3B" w:rsidRPr="00557199">
        <w:rPr>
          <w:rFonts w:ascii="Times New Roman" w:hAnsi="Times New Roman" w:cs="Times New Roman"/>
          <w:sz w:val="24"/>
          <w:szCs w:val="24"/>
        </w:rPr>
        <w:t>neurologic</w:t>
      </w:r>
      <w:r w:rsidRPr="00557199">
        <w:rPr>
          <w:rFonts w:ascii="Times New Roman" w:hAnsi="Times New Roman" w:cs="Times New Roman"/>
          <w:sz w:val="24"/>
          <w:szCs w:val="24"/>
        </w:rPr>
        <w:t xml:space="preserve"> dysfunction (relapse) separated by periods of full recovery (remissions); 85%-90% patients initially have this form; symptoms develop over days then </w:t>
      </w:r>
      <w:r w:rsidR="00FD2E3B" w:rsidRPr="00557199">
        <w:rPr>
          <w:rFonts w:ascii="Times New Roman" w:hAnsi="Times New Roman" w:cs="Times New Roman"/>
          <w:sz w:val="24"/>
          <w:szCs w:val="24"/>
        </w:rPr>
        <w:t>typically</w:t>
      </w:r>
      <w:r w:rsidRPr="00557199">
        <w:rPr>
          <w:rFonts w:ascii="Times New Roman" w:hAnsi="Times New Roman" w:cs="Times New Roman"/>
          <w:sz w:val="24"/>
          <w:szCs w:val="24"/>
        </w:rPr>
        <w:t xml:space="preserve"> resolve in a few weeks, average patient has two relapses every 3yrs.; signs and symptoms depend on size and location of CNS lesions and vary from one attack to another; usually begins second or third decade of life and affects twice as many men as women</w:t>
      </w:r>
    </w:p>
    <w:p w:rsidR="00B56D0B" w:rsidRPr="00557199" w:rsidRDefault="00B56D0B" w:rsidP="00B56D0B">
      <w:pPr>
        <w:pStyle w:val="ListParagraph"/>
        <w:numPr>
          <w:ilvl w:val="0"/>
          <w:numId w:val="1"/>
        </w:numPr>
        <w:rPr>
          <w:rFonts w:ascii="Times New Roman" w:hAnsi="Times New Roman" w:cs="Times New Roman"/>
          <w:b/>
          <w:sz w:val="24"/>
          <w:szCs w:val="24"/>
        </w:rPr>
      </w:pPr>
      <w:r w:rsidRPr="00557199">
        <w:rPr>
          <w:rFonts w:ascii="Times New Roman" w:hAnsi="Times New Roman" w:cs="Times New Roman"/>
          <w:sz w:val="24"/>
          <w:szCs w:val="24"/>
        </w:rPr>
        <w:t>Secondary Progressive MS- occurs when patient with relapsing-remitting MS develops steadily worsening dysfunction- with or without occasional plateaus, acute exacerbations, or minor remissions.  Within 10-20 years of symptom onset, about 50% of patients with relapsing-remitting MS develop secondary progressive</w:t>
      </w:r>
    </w:p>
    <w:p w:rsidR="00B56D0B" w:rsidRPr="00557199" w:rsidRDefault="00FD2E3B" w:rsidP="00B56D0B">
      <w:pPr>
        <w:pStyle w:val="ListParagraph"/>
        <w:numPr>
          <w:ilvl w:val="0"/>
          <w:numId w:val="1"/>
        </w:numPr>
        <w:rPr>
          <w:rFonts w:ascii="Times New Roman" w:hAnsi="Times New Roman" w:cs="Times New Roman"/>
          <w:sz w:val="24"/>
          <w:szCs w:val="24"/>
        </w:rPr>
      </w:pPr>
      <w:r w:rsidRPr="00557199">
        <w:rPr>
          <w:rFonts w:ascii="Times New Roman" w:hAnsi="Times New Roman" w:cs="Times New Roman"/>
          <w:sz w:val="24"/>
          <w:szCs w:val="24"/>
        </w:rPr>
        <w:t>Occurs</w:t>
      </w:r>
      <w:r w:rsidR="00B56D0B" w:rsidRPr="00557199">
        <w:rPr>
          <w:rFonts w:ascii="Times New Roman" w:hAnsi="Times New Roman" w:cs="Times New Roman"/>
          <w:sz w:val="24"/>
          <w:szCs w:val="24"/>
        </w:rPr>
        <w:t xml:space="preserve"> when patient with relapsing-remitting MS develops steadily worsening dysfunction- with or without occasional plateaus, acute exacerbations, or minor remissions.  Within 10-20 </w:t>
      </w:r>
      <w:r w:rsidR="00B56D0B" w:rsidRPr="00557199">
        <w:rPr>
          <w:rFonts w:ascii="Times New Roman" w:hAnsi="Times New Roman" w:cs="Times New Roman"/>
          <w:sz w:val="24"/>
          <w:szCs w:val="24"/>
        </w:rPr>
        <w:lastRenderedPageBreak/>
        <w:t>years of symptom onset, about 50% of patients with relapsing-remitting MS develop secondary progressive MS occurs when patient with relapsing-remitting MS develops steadily worsening dysfunction- with or without occasional plateaus, acute exacerbations, or minor remissions.  Within 10-20 years of symptom onset, about 50% of patients with relapsing-remitting MS develop secondary progressive MS</w:t>
      </w:r>
    </w:p>
    <w:p w:rsidR="00B56D0B" w:rsidRPr="00557199" w:rsidRDefault="00B56D0B" w:rsidP="00B56D0B">
      <w:pPr>
        <w:pStyle w:val="ListParagraph"/>
        <w:ind w:left="405"/>
        <w:rPr>
          <w:rFonts w:ascii="Times New Roman" w:hAnsi="Times New Roman" w:cs="Times New Roman"/>
          <w:b/>
          <w:sz w:val="24"/>
          <w:szCs w:val="24"/>
        </w:rPr>
      </w:pPr>
    </w:p>
    <w:p w:rsidR="00B56D0B" w:rsidRPr="00557199" w:rsidRDefault="00B56D0B" w:rsidP="00B56D0B">
      <w:pPr>
        <w:pStyle w:val="ListParagraph"/>
        <w:numPr>
          <w:ilvl w:val="0"/>
          <w:numId w:val="1"/>
        </w:numPr>
        <w:rPr>
          <w:rFonts w:ascii="Times New Roman" w:hAnsi="Times New Roman" w:cs="Times New Roman"/>
          <w:b/>
          <w:sz w:val="24"/>
          <w:szCs w:val="24"/>
        </w:rPr>
      </w:pPr>
      <w:r w:rsidRPr="00557199">
        <w:rPr>
          <w:rFonts w:ascii="Times New Roman" w:hAnsi="Times New Roman" w:cs="Times New Roman"/>
          <w:sz w:val="24"/>
          <w:szCs w:val="24"/>
        </w:rPr>
        <w:t>Primary Progressive MS- symptoms progressively grow more intense at outset, although some pt may experience temporary plateaus or improvement; remissions do not occur; only 10% have this form</w:t>
      </w:r>
    </w:p>
    <w:p w:rsidR="00B56D0B" w:rsidRPr="00557199" w:rsidRDefault="00B56D0B" w:rsidP="00B56D0B">
      <w:pPr>
        <w:pStyle w:val="ListParagraph"/>
        <w:numPr>
          <w:ilvl w:val="0"/>
          <w:numId w:val="1"/>
        </w:numPr>
        <w:rPr>
          <w:rFonts w:ascii="Times New Roman" w:hAnsi="Times New Roman" w:cs="Times New Roman"/>
          <w:b/>
          <w:sz w:val="24"/>
          <w:szCs w:val="24"/>
        </w:rPr>
      </w:pPr>
      <w:r w:rsidRPr="00557199">
        <w:rPr>
          <w:rFonts w:ascii="Times New Roman" w:hAnsi="Times New Roman" w:cs="Times New Roman"/>
          <w:sz w:val="24"/>
          <w:szCs w:val="24"/>
        </w:rPr>
        <w:t>Progressive-Relapsing MS- rare, looks like primary progressive but with acute exacerbations superimposed on steady intensification of symptoms</w:t>
      </w:r>
    </w:p>
    <w:p w:rsidR="00B56D0B" w:rsidRPr="00557199" w:rsidRDefault="00B56D0B" w:rsidP="00B56D0B">
      <w:pPr>
        <w:ind w:left="45"/>
        <w:rPr>
          <w:rFonts w:ascii="Times New Roman" w:hAnsi="Times New Roman" w:cs="Times New Roman"/>
          <w:sz w:val="24"/>
          <w:szCs w:val="24"/>
        </w:rPr>
      </w:pPr>
      <w:r w:rsidRPr="00557199">
        <w:rPr>
          <w:rFonts w:ascii="Times New Roman" w:hAnsi="Times New Roman" w:cs="Times New Roman"/>
          <w:sz w:val="24"/>
          <w:szCs w:val="24"/>
        </w:rPr>
        <w:t xml:space="preserve"> MS</w:t>
      </w:r>
      <w:r w:rsidRPr="00557199">
        <w:rPr>
          <w:rFonts w:ascii="Times New Roman" w:hAnsi="Times New Roman" w:cs="Times New Roman"/>
          <w:b/>
          <w:sz w:val="24"/>
          <w:szCs w:val="24"/>
        </w:rPr>
        <w:t xml:space="preserve"> most common presentations (Lehne book)</w:t>
      </w:r>
      <w:r w:rsidRPr="00557199">
        <w:rPr>
          <w:rFonts w:ascii="Times New Roman" w:hAnsi="Times New Roman" w:cs="Times New Roman"/>
          <w:sz w:val="24"/>
          <w:szCs w:val="24"/>
        </w:rPr>
        <w:t>- wide variety of S/S depending on where demyelination occurs, ; parathesis (numbness, tingling, pins and needles), muscle or motor problems (weakness, clumsiness, ataxia, spasms, tremors, spasticity, cramps), visual impairment (blurred vision, double vision, blindness), bladder and bowel symptoms (incontinence, urinary urgency, urinary hesitancy and constipation), sexual dysfunction, disabling fatigue, emotional lability, depression, cognitive impairment, slurred speech, dysphagia, dizziness, vertigo, neuropathic pain and more; intensity determined by size of region of myelination</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b/>
          <w:sz w:val="24"/>
          <w:szCs w:val="24"/>
        </w:rPr>
        <w:t xml:space="preserve">Levodopa (Lehne189) </w:t>
      </w:r>
      <w:r w:rsidRPr="00557199">
        <w:rPr>
          <w:rFonts w:ascii="Times New Roman" w:hAnsi="Times New Roman" w:cs="Times New Roman"/>
          <w:sz w:val="24"/>
          <w:szCs w:val="24"/>
        </w:rPr>
        <w:t>–eventually becomes ineffective; combined with carbidopa is most effective therapy for PD</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t xml:space="preserve">MOA-= enhances effects of carbidopa (carbidopa does not work alone); carbidopa </w:t>
      </w:r>
      <w:r w:rsidR="00FD2E3B" w:rsidRPr="00557199">
        <w:rPr>
          <w:rFonts w:ascii="Times New Roman" w:hAnsi="Times New Roman" w:cs="Times New Roman"/>
          <w:sz w:val="24"/>
          <w:szCs w:val="24"/>
        </w:rPr>
        <w:t>inhibits</w:t>
      </w:r>
      <w:r w:rsidRPr="00557199">
        <w:rPr>
          <w:rFonts w:ascii="Times New Roman" w:hAnsi="Times New Roman" w:cs="Times New Roman"/>
          <w:sz w:val="24"/>
          <w:szCs w:val="24"/>
        </w:rPr>
        <w:t xml:space="preserve"> carboxylation of levodopa in intestines and peripheral tissues making more available to CNS; does not inhibit use of levodopa in brain because it can’t pass blood brain barrier; without carbidopa</w:t>
      </w:r>
      <w:r w:rsidR="00FD2E3B" w:rsidRPr="00557199">
        <w:rPr>
          <w:rFonts w:ascii="Times New Roman" w:hAnsi="Times New Roman" w:cs="Times New Roman"/>
          <w:sz w:val="24"/>
          <w:szCs w:val="24"/>
        </w:rPr>
        <w:t>, 98</w:t>
      </w:r>
      <w:r w:rsidRPr="00557199">
        <w:rPr>
          <w:rFonts w:ascii="Times New Roman" w:hAnsi="Times New Roman" w:cs="Times New Roman"/>
          <w:sz w:val="24"/>
          <w:szCs w:val="24"/>
        </w:rPr>
        <w:t>% levodopa is converted to dopamine before it gets to the brain; with inhibition 10% of levodopa reaches the brain</w:t>
      </w:r>
    </w:p>
    <w:p w:rsidR="00B56D0B" w:rsidRPr="00557199" w:rsidRDefault="00B56D0B" w:rsidP="00B56D0B">
      <w:pPr>
        <w:rPr>
          <w:rFonts w:ascii="Times New Roman" w:hAnsi="Times New Roman" w:cs="Times New Roman"/>
          <w:b/>
          <w:sz w:val="24"/>
          <w:szCs w:val="24"/>
        </w:rPr>
      </w:pPr>
      <w:r w:rsidRPr="00557199">
        <w:rPr>
          <w:rFonts w:ascii="Times New Roman" w:hAnsi="Times New Roman" w:cs="Times New Roman"/>
          <w:b/>
          <w:sz w:val="24"/>
          <w:szCs w:val="24"/>
        </w:rPr>
        <w:t>Advantages of Carbidopa:</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t xml:space="preserve"> increases levodopa available to brain, allowing dosage reduction</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t>by reducing dopamine production in periphery, carbidopa reduces CV response to levodopa as well as nausea and vomiting</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t>causes direct inhibition of decarboxylase thereby eliminating problems about decreasing levodopa by taking vitamin preparations with pyroxidine</w:t>
      </w:r>
    </w:p>
    <w:p w:rsidR="00B56D0B" w:rsidRPr="00557199" w:rsidRDefault="00B56D0B" w:rsidP="00B56D0B">
      <w:pPr>
        <w:rPr>
          <w:rFonts w:ascii="Times New Roman" w:hAnsi="Times New Roman" w:cs="Times New Roman"/>
          <w:b/>
          <w:sz w:val="24"/>
          <w:szCs w:val="24"/>
        </w:rPr>
      </w:pPr>
      <w:r w:rsidRPr="00557199">
        <w:rPr>
          <w:rFonts w:ascii="Times New Roman" w:hAnsi="Times New Roman" w:cs="Times New Roman"/>
          <w:b/>
          <w:sz w:val="24"/>
          <w:szCs w:val="24"/>
        </w:rPr>
        <w:t>Disdvantages of Carbidopa:</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t xml:space="preserve">Carbidopa itself has no adverse effects, but the combination </w:t>
      </w:r>
      <w:r w:rsidR="00FD2E3B" w:rsidRPr="00557199">
        <w:rPr>
          <w:rFonts w:ascii="Times New Roman" w:hAnsi="Times New Roman" w:cs="Times New Roman"/>
          <w:sz w:val="24"/>
          <w:szCs w:val="24"/>
        </w:rPr>
        <w:t>may intensify</w:t>
      </w:r>
      <w:r w:rsidRPr="00557199">
        <w:rPr>
          <w:rFonts w:ascii="Times New Roman" w:hAnsi="Times New Roman" w:cs="Times New Roman"/>
          <w:sz w:val="24"/>
          <w:szCs w:val="24"/>
        </w:rPr>
        <w:t xml:space="preserve"> abnormal movements and psychiatric disturbances may occur sooner and be more intense than levodopa alone</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lastRenderedPageBreak/>
        <w:t>Preparation, dosage &amp; admin:</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t>Fixed dose combo product usually</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t>Levodopa/carbidopa- sinemet:  immediate release; sustained release tablets; dosage is low initially and gradually increased</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t>Levodopa/ carbidopa: paracopa: designed to dissolve and tongue and swallowed with saliva; advantage for those having trouble swallowing</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t>Carbidopa alone: lodosyn: never used without levodopa; available only by special request for investigation</w:t>
      </w:r>
    </w:p>
    <w:p w:rsidR="00B56D0B" w:rsidRPr="00557199" w:rsidRDefault="00FD2E3B" w:rsidP="00B56D0B">
      <w:pPr>
        <w:rPr>
          <w:rFonts w:ascii="Times New Roman" w:hAnsi="Times New Roman" w:cs="Times New Roman"/>
          <w:sz w:val="24"/>
          <w:szCs w:val="24"/>
        </w:rPr>
      </w:pPr>
      <w:r w:rsidRPr="00557199">
        <w:rPr>
          <w:rFonts w:ascii="Times New Roman" w:hAnsi="Times New Roman" w:cs="Times New Roman"/>
          <w:sz w:val="24"/>
          <w:szCs w:val="24"/>
        </w:rPr>
        <w:t>Switching</w:t>
      </w:r>
      <w:r w:rsidR="00B56D0B" w:rsidRPr="00557199">
        <w:rPr>
          <w:rFonts w:ascii="Times New Roman" w:hAnsi="Times New Roman" w:cs="Times New Roman"/>
          <w:sz w:val="24"/>
          <w:szCs w:val="24"/>
        </w:rPr>
        <w:t xml:space="preserve"> form levodopa alone to levodopa/carbidopa- at least 8 hours should </w:t>
      </w:r>
      <w:r w:rsidRPr="00557199">
        <w:rPr>
          <w:rFonts w:ascii="Times New Roman" w:hAnsi="Times New Roman" w:cs="Times New Roman"/>
          <w:sz w:val="24"/>
          <w:szCs w:val="24"/>
        </w:rPr>
        <w:t>elapse between</w:t>
      </w:r>
      <w:r w:rsidR="00B56D0B" w:rsidRPr="00557199">
        <w:rPr>
          <w:rFonts w:ascii="Times New Roman" w:hAnsi="Times New Roman" w:cs="Times New Roman"/>
          <w:sz w:val="24"/>
          <w:szCs w:val="24"/>
        </w:rPr>
        <w:t xml:space="preserve"> last dose of levodopa and first dose of combo; levodopa dose in combo should only be 25% of former dose</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b/>
          <w:sz w:val="24"/>
          <w:szCs w:val="24"/>
        </w:rPr>
        <w:t xml:space="preserve"> </w:t>
      </w:r>
      <w:r w:rsidR="00FD2E3B" w:rsidRPr="00557199">
        <w:rPr>
          <w:rFonts w:ascii="Times New Roman" w:hAnsi="Times New Roman" w:cs="Times New Roman"/>
          <w:sz w:val="24"/>
          <w:szCs w:val="24"/>
        </w:rPr>
        <w:t>Occurs</w:t>
      </w:r>
      <w:r w:rsidRPr="00557199">
        <w:rPr>
          <w:rFonts w:ascii="Times New Roman" w:hAnsi="Times New Roman" w:cs="Times New Roman"/>
          <w:sz w:val="24"/>
          <w:szCs w:val="24"/>
        </w:rPr>
        <w:t xml:space="preserve"> when patient with relapsing-remitting MS develops steadily worsening dysfunction- with or without occasional plateaus, acute exacerbations, or minor remissions.  Within 10-20 years of symptom onset, about 50% of patients with relapsing-remitting MS develop secondary progressive MS occurs when patient with relapsing-remitting MS develops steadily worsening dysfunction- with or without occasional plateaus, acute exacerbations, or minor remissions.  Within 10-20 years of symptom onset, about 50% of patients with relapsing-remitting MS develop secondary progressive MS</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b/>
          <w:sz w:val="24"/>
          <w:szCs w:val="24"/>
        </w:rPr>
        <w:t xml:space="preserve">Cholinesterase inhibitors (Lehne 201-202 for Alzheimer’s) </w:t>
      </w:r>
      <w:r w:rsidRPr="00557199">
        <w:rPr>
          <w:rFonts w:ascii="Times New Roman" w:hAnsi="Times New Roman" w:cs="Times New Roman"/>
          <w:sz w:val="24"/>
          <w:szCs w:val="24"/>
        </w:rPr>
        <w:t>used to reduce cognitive impairment in Alzheimer’s; slightly reduces disease progression; modest improvements in cognition, behavior and function</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b/>
          <w:sz w:val="24"/>
          <w:szCs w:val="24"/>
        </w:rPr>
        <w:t>MAO-</w:t>
      </w:r>
      <w:r w:rsidRPr="00557199">
        <w:rPr>
          <w:rFonts w:ascii="Times New Roman" w:hAnsi="Times New Roman" w:cs="Times New Roman"/>
          <w:sz w:val="24"/>
          <w:szCs w:val="24"/>
        </w:rPr>
        <w:t xml:space="preserve">prevent breakdown of Ach by acytlcholinesterase; increase </w:t>
      </w:r>
      <w:r w:rsidR="00FD2E3B" w:rsidRPr="00557199">
        <w:rPr>
          <w:rFonts w:ascii="Times New Roman" w:hAnsi="Times New Roman" w:cs="Times New Roman"/>
          <w:sz w:val="24"/>
          <w:szCs w:val="24"/>
        </w:rPr>
        <w:t>availability</w:t>
      </w:r>
      <w:r w:rsidRPr="00557199">
        <w:rPr>
          <w:rFonts w:ascii="Times New Roman" w:hAnsi="Times New Roman" w:cs="Times New Roman"/>
          <w:sz w:val="24"/>
          <w:szCs w:val="24"/>
        </w:rPr>
        <w:t xml:space="preserve"> of Ach in synapses; in patients with AD, the result is enhanced transmission of central cholinergic neurons that have not yet been destroyed; do not cure AD</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t xml:space="preserve">Note: only 25%-30% respond; improvements in qol and cognitive function (memory, thought, </w:t>
      </w:r>
      <w:r w:rsidR="00FD2E3B" w:rsidRPr="00557199">
        <w:rPr>
          <w:rFonts w:ascii="Times New Roman" w:hAnsi="Times New Roman" w:cs="Times New Roman"/>
          <w:sz w:val="24"/>
          <w:szCs w:val="24"/>
        </w:rPr>
        <w:t>and reasoning</w:t>
      </w:r>
      <w:r w:rsidRPr="00557199">
        <w:rPr>
          <w:rFonts w:ascii="Times New Roman" w:hAnsi="Times New Roman" w:cs="Times New Roman"/>
          <w:sz w:val="24"/>
          <w:szCs w:val="24"/>
        </w:rPr>
        <w:t>) are short lasting</w:t>
      </w:r>
    </w:p>
    <w:p w:rsidR="00B56D0B" w:rsidRPr="00557199" w:rsidRDefault="00B56D0B" w:rsidP="00B56D0B">
      <w:pPr>
        <w:rPr>
          <w:rFonts w:ascii="Times New Roman" w:hAnsi="Times New Roman" w:cs="Times New Roman"/>
          <w:sz w:val="24"/>
          <w:szCs w:val="24"/>
        </w:rPr>
      </w:pPr>
      <w:r w:rsidRPr="00557199">
        <w:rPr>
          <w:rFonts w:ascii="Times New Roman" w:hAnsi="Times New Roman" w:cs="Times New Roman"/>
          <w:sz w:val="24"/>
          <w:szCs w:val="24"/>
        </w:rPr>
        <w:t>Only donepezil, galantamine and rivastigamine are approved for AD with mild to moderate symptoms; donepezil is the only one approved for severe symptoms</w:t>
      </w:r>
    </w:p>
    <w:p w:rsidR="00B56D0B" w:rsidRPr="00557199" w:rsidRDefault="00B56D0B" w:rsidP="00B56D0B">
      <w:pPr>
        <w:rPr>
          <w:rFonts w:ascii="Times New Roman" w:hAnsi="Times New Roman" w:cs="Times New Roman"/>
          <w:b/>
          <w:sz w:val="24"/>
          <w:szCs w:val="24"/>
        </w:rPr>
      </w:pPr>
      <w:r w:rsidRPr="00557199">
        <w:rPr>
          <w:rFonts w:ascii="Times New Roman" w:hAnsi="Times New Roman" w:cs="Times New Roman"/>
          <w:b/>
          <w:sz w:val="24"/>
          <w:szCs w:val="24"/>
        </w:rPr>
        <w:t xml:space="preserve"> Tacrine (effects on the liver)-(L ehne201, Implications 137-138) Cholinesterase inhibitor with Significant risk of liver disease and should be avoided- USE IS </w:t>
      </w:r>
      <w:r w:rsidRPr="00557199">
        <w:rPr>
          <w:rFonts w:ascii="Times New Roman" w:hAnsi="Times New Roman" w:cs="Times New Roman"/>
          <w:b/>
          <w:sz w:val="24"/>
          <w:szCs w:val="24"/>
          <w:u w:val="single"/>
        </w:rPr>
        <w:t>NOT APPROVED</w:t>
      </w:r>
      <w:r w:rsidRPr="00557199">
        <w:rPr>
          <w:rFonts w:ascii="Times New Roman" w:hAnsi="Times New Roman" w:cs="Times New Roman"/>
          <w:b/>
          <w:sz w:val="24"/>
          <w:szCs w:val="24"/>
        </w:rPr>
        <w:t xml:space="preserve"> IN AD</w:t>
      </w:r>
    </w:p>
    <w:p w:rsidR="004E1F14" w:rsidRPr="00557199" w:rsidRDefault="004E1F14">
      <w:pPr>
        <w:rPr>
          <w:rFonts w:ascii="Times New Roman" w:hAnsi="Times New Roman" w:cs="Times New Roman"/>
          <w:sz w:val="24"/>
          <w:szCs w:val="24"/>
        </w:rPr>
      </w:pPr>
    </w:p>
    <w:sectPr w:rsidR="004E1F14" w:rsidRPr="0055719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D72" w:rsidRDefault="00CD7D72" w:rsidP="005D3A38">
      <w:pPr>
        <w:spacing w:after="0" w:line="240" w:lineRule="auto"/>
      </w:pPr>
      <w:r>
        <w:separator/>
      </w:r>
    </w:p>
  </w:endnote>
  <w:endnote w:type="continuationSeparator" w:id="0">
    <w:p w:rsidR="00CD7D72" w:rsidRDefault="00CD7D72" w:rsidP="005D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961908"/>
      <w:docPartObj>
        <w:docPartGallery w:val="Page Numbers (Bottom of Page)"/>
        <w:docPartUnique/>
      </w:docPartObj>
    </w:sdtPr>
    <w:sdtContent>
      <w:p w:rsidR="005D3A38" w:rsidRDefault="005D3A38">
        <w:pPr>
          <w:pStyle w:val="Footer"/>
          <w:jc w:val="right"/>
        </w:pPr>
        <w:r>
          <w:t xml:space="preserve">Page | </w:t>
        </w:r>
        <w:r>
          <w:fldChar w:fldCharType="begin"/>
        </w:r>
        <w:r>
          <w:instrText xml:space="preserve"> PAGE   \* MERGEFORMAT </w:instrText>
        </w:r>
        <w:r>
          <w:fldChar w:fldCharType="separate"/>
        </w:r>
        <w:r w:rsidR="007F28B7">
          <w:rPr>
            <w:noProof/>
          </w:rPr>
          <w:t>1</w:t>
        </w:r>
        <w:r>
          <w:rPr>
            <w:noProof/>
          </w:rPr>
          <w:fldChar w:fldCharType="end"/>
        </w:r>
        <w:r>
          <w:t xml:space="preserve"> </w:t>
        </w:r>
      </w:p>
    </w:sdtContent>
  </w:sdt>
  <w:p w:rsidR="005D3A38" w:rsidRDefault="005D3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D72" w:rsidRDefault="00CD7D72" w:rsidP="005D3A38">
      <w:pPr>
        <w:spacing w:after="0" w:line="240" w:lineRule="auto"/>
      </w:pPr>
      <w:r>
        <w:separator/>
      </w:r>
    </w:p>
  </w:footnote>
  <w:footnote w:type="continuationSeparator" w:id="0">
    <w:p w:rsidR="00CD7D72" w:rsidRDefault="00CD7D72" w:rsidP="005D3A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95EFC"/>
    <w:multiLevelType w:val="hybridMultilevel"/>
    <w:tmpl w:val="97E017A0"/>
    <w:lvl w:ilvl="0" w:tplc="5E2AEB4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D0B"/>
    <w:rsid w:val="004E1F14"/>
    <w:rsid w:val="00557199"/>
    <w:rsid w:val="005D3A38"/>
    <w:rsid w:val="007F28B7"/>
    <w:rsid w:val="00B56D0B"/>
    <w:rsid w:val="00CD7D72"/>
    <w:rsid w:val="00FD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D0B"/>
    <w:pPr>
      <w:ind w:left="720"/>
      <w:contextualSpacing/>
    </w:pPr>
  </w:style>
  <w:style w:type="character" w:customStyle="1" w:styleId="apple-style-span">
    <w:name w:val="apple-style-span"/>
    <w:basedOn w:val="DefaultParagraphFont"/>
    <w:rsid w:val="00557199"/>
  </w:style>
  <w:style w:type="character" w:customStyle="1" w:styleId="apple-converted-space">
    <w:name w:val="apple-converted-space"/>
    <w:basedOn w:val="DefaultParagraphFont"/>
    <w:rsid w:val="00557199"/>
  </w:style>
  <w:style w:type="character" w:styleId="Hyperlink">
    <w:name w:val="Hyperlink"/>
    <w:basedOn w:val="DefaultParagraphFont"/>
    <w:uiPriority w:val="99"/>
    <w:semiHidden/>
    <w:unhideWhenUsed/>
    <w:rsid w:val="00557199"/>
    <w:rPr>
      <w:color w:val="0000FF"/>
      <w:u w:val="single"/>
    </w:rPr>
  </w:style>
  <w:style w:type="paragraph" w:styleId="NormalWeb">
    <w:name w:val="Normal (Web)"/>
    <w:basedOn w:val="Normal"/>
    <w:uiPriority w:val="99"/>
    <w:semiHidden/>
    <w:unhideWhenUsed/>
    <w:rsid w:val="005571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38"/>
  </w:style>
  <w:style w:type="paragraph" w:styleId="Footer">
    <w:name w:val="footer"/>
    <w:basedOn w:val="Normal"/>
    <w:link w:val="FooterChar"/>
    <w:uiPriority w:val="99"/>
    <w:unhideWhenUsed/>
    <w:rsid w:val="005D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38"/>
  </w:style>
  <w:style w:type="paragraph" w:styleId="BalloonText">
    <w:name w:val="Balloon Text"/>
    <w:basedOn w:val="Normal"/>
    <w:link w:val="BalloonTextChar"/>
    <w:uiPriority w:val="99"/>
    <w:semiHidden/>
    <w:unhideWhenUsed/>
    <w:rsid w:val="007F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8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D0B"/>
    <w:pPr>
      <w:ind w:left="720"/>
      <w:contextualSpacing/>
    </w:pPr>
  </w:style>
  <w:style w:type="character" w:customStyle="1" w:styleId="apple-style-span">
    <w:name w:val="apple-style-span"/>
    <w:basedOn w:val="DefaultParagraphFont"/>
    <w:rsid w:val="00557199"/>
  </w:style>
  <w:style w:type="character" w:customStyle="1" w:styleId="apple-converted-space">
    <w:name w:val="apple-converted-space"/>
    <w:basedOn w:val="DefaultParagraphFont"/>
    <w:rsid w:val="00557199"/>
  </w:style>
  <w:style w:type="character" w:styleId="Hyperlink">
    <w:name w:val="Hyperlink"/>
    <w:basedOn w:val="DefaultParagraphFont"/>
    <w:uiPriority w:val="99"/>
    <w:semiHidden/>
    <w:unhideWhenUsed/>
    <w:rsid w:val="00557199"/>
    <w:rPr>
      <w:color w:val="0000FF"/>
      <w:u w:val="single"/>
    </w:rPr>
  </w:style>
  <w:style w:type="paragraph" w:styleId="NormalWeb">
    <w:name w:val="Normal (Web)"/>
    <w:basedOn w:val="Normal"/>
    <w:uiPriority w:val="99"/>
    <w:semiHidden/>
    <w:unhideWhenUsed/>
    <w:rsid w:val="005571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38"/>
  </w:style>
  <w:style w:type="paragraph" w:styleId="Footer">
    <w:name w:val="footer"/>
    <w:basedOn w:val="Normal"/>
    <w:link w:val="FooterChar"/>
    <w:uiPriority w:val="99"/>
    <w:unhideWhenUsed/>
    <w:rsid w:val="005D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38"/>
  </w:style>
  <w:style w:type="paragraph" w:styleId="BalloonText">
    <w:name w:val="Balloon Text"/>
    <w:basedOn w:val="Normal"/>
    <w:link w:val="BalloonTextChar"/>
    <w:uiPriority w:val="99"/>
    <w:semiHidden/>
    <w:unhideWhenUsed/>
    <w:rsid w:val="007F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23427">
      <w:bodyDiv w:val="1"/>
      <w:marLeft w:val="0"/>
      <w:marRight w:val="0"/>
      <w:marTop w:val="0"/>
      <w:marBottom w:val="0"/>
      <w:divBdr>
        <w:top w:val="none" w:sz="0" w:space="0" w:color="auto"/>
        <w:left w:val="none" w:sz="0" w:space="0" w:color="auto"/>
        <w:bottom w:val="none" w:sz="0" w:space="0" w:color="auto"/>
        <w:right w:val="none" w:sz="0" w:space="0" w:color="auto"/>
      </w:divBdr>
    </w:div>
    <w:div w:id="61540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medicine.medscape.com/article/1825866-overview" TargetMode="External"/><Relationship Id="rId4" Type="http://schemas.openxmlformats.org/officeDocument/2006/relationships/settings" Target="settings.xml"/><Relationship Id="rId9" Type="http://schemas.openxmlformats.org/officeDocument/2006/relationships/hyperlink" Target="http://emedicine.medscape.com/article/1177162-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dc:creator>
  <cp:lastModifiedBy>Theresa</cp:lastModifiedBy>
  <cp:revision>5</cp:revision>
  <dcterms:created xsi:type="dcterms:W3CDTF">2012-07-08T01:50:00Z</dcterms:created>
  <dcterms:modified xsi:type="dcterms:W3CDTF">2012-07-08T02:20:00Z</dcterms:modified>
</cp:coreProperties>
</file>