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7314" w:rsidRPr="000B2B38" w:rsidRDefault="00997314"/>
    <w:p w:rsidR="00997314" w:rsidRPr="000B2B38" w:rsidRDefault="00997314"/>
    <w:p w:rsidR="00997314" w:rsidRPr="000B2B38" w:rsidRDefault="00997314"/>
    <w:p w:rsidR="00997314" w:rsidRPr="000B2B38" w:rsidRDefault="00997314"/>
    <w:p w:rsidR="00997314" w:rsidRPr="000B2B38" w:rsidRDefault="00997314"/>
    <w:p w:rsidR="00997314" w:rsidRPr="000B2B38" w:rsidRDefault="00997314"/>
    <w:p w:rsidR="00997314" w:rsidRPr="00396469" w:rsidRDefault="004835CC">
      <w:pPr>
        <w:rPr>
          <w:color w:val="FF0000"/>
        </w:rPr>
      </w:pPr>
      <w:r>
        <w:rPr>
          <w:color w:val="FF0000"/>
        </w:rPr>
        <w:t>14</w:t>
      </w:r>
      <w:r w:rsidR="00396469" w:rsidRPr="00396469">
        <w:rPr>
          <w:color w:val="FF0000"/>
        </w:rPr>
        <w:t>/15</w:t>
      </w:r>
    </w:p>
    <w:p w:rsidR="00997314" w:rsidRPr="000B2B38" w:rsidRDefault="00997314"/>
    <w:p w:rsidR="00997314" w:rsidRPr="000B2B38" w:rsidRDefault="00997314"/>
    <w:p w:rsidR="00997314" w:rsidRPr="000B2B38" w:rsidRDefault="00997314" w:rsidP="00997314">
      <w:pPr>
        <w:jc w:val="center"/>
      </w:pPr>
    </w:p>
    <w:p w:rsidR="00997314" w:rsidRPr="000B2B38" w:rsidRDefault="00F34AA7" w:rsidP="00997314">
      <w:pPr>
        <w:jc w:val="center"/>
      </w:pPr>
      <w:r w:rsidRPr="000B2B38">
        <w:t>Case Study 5</w:t>
      </w:r>
    </w:p>
    <w:p w:rsidR="00997314" w:rsidRPr="000B2B38" w:rsidRDefault="00997314" w:rsidP="00997314">
      <w:pPr>
        <w:jc w:val="center"/>
      </w:pPr>
      <w:r w:rsidRPr="000B2B38">
        <w:t xml:space="preserve">Madeline </w:t>
      </w:r>
      <w:proofErr w:type="spellStart"/>
      <w:r w:rsidRPr="000B2B38">
        <w:t>Petcoff</w:t>
      </w:r>
      <w:proofErr w:type="spellEnd"/>
    </w:p>
    <w:p w:rsidR="00997314" w:rsidRPr="000B2B38" w:rsidRDefault="00997314" w:rsidP="00997314">
      <w:pPr>
        <w:jc w:val="center"/>
      </w:pPr>
      <w:r w:rsidRPr="000B2B38">
        <w:t>Lakeview College of Nursing</w:t>
      </w:r>
    </w:p>
    <w:p w:rsidR="00997314" w:rsidRPr="000B2B38" w:rsidRDefault="00997314" w:rsidP="00997314">
      <w:pPr>
        <w:jc w:val="center"/>
      </w:pPr>
    </w:p>
    <w:p w:rsidR="00997314" w:rsidRPr="000B2B38" w:rsidRDefault="00997314" w:rsidP="00997314">
      <w:pPr>
        <w:jc w:val="center"/>
      </w:pPr>
    </w:p>
    <w:p w:rsidR="006A1FF6" w:rsidRPr="000B2B38" w:rsidRDefault="006A1FF6" w:rsidP="006A1FF6">
      <w:pPr>
        <w:rPr>
          <w:rFonts w:cs="Times New Roman"/>
        </w:rPr>
      </w:pPr>
    </w:p>
    <w:p w:rsidR="006A1FF6" w:rsidRPr="000B2B38" w:rsidRDefault="006A1FF6" w:rsidP="006A1FF6"/>
    <w:p w:rsidR="006A1FF6" w:rsidRPr="000B2B38" w:rsidRDefault="006A1FF6" w:rsidP="006A1FF6"/>
    <w:p w:rsidR="006A1FF6" w:rsidRPr="000B2B38" w:rsidRDefault="006A1FF6" w:rsidP="006A1FF6"/>
    <w:p w:rsidR="006A1FF6" w:rsidRPr="000B2B38" w:rsidRDefault="006A1FF6" w:rsidP="006A1FF6"/>
    <w:p w:rsidR="006A1FF6" w:rsidRPr="000B2B38" w:rsidRDefault="006A1FF6" w:rsidP="006A1FF6"/>
    <w:p w:rsidR="006A1FF6" w:rsidRPr="000B2B38" w:rsidRDefault="006A1FF6" w:rsidP="006A1FF6"/>
    <w:p w:rsidR="006A1FF6" w:rsidRPr="000B2B38" w:rsidRDefault="006A1FF6" w:rsidP="006A1FF6"/>
    <w:p w:rsidR="006A1FF6" w:rsidRPr="000B2B38" w:rsidRDefault="006A1FF6" w:rsidP="006A1FF6"/>
    <w:p w:rsidR="006A1FF6" w:rsidRPr="000B2B38" w:rsidRDefault="006A1FF6" w:rsidP="006A1FF6">
      <w:pPr>
        <w:spacing w:line="480" w:lineRule="auto"/>
      </w:pPr>
      <w:r w:rsidRPr="000B2B38">
        <w:tab/>
      </w:r>
    </w:p>
    <w:p w:rsidR="006A1FF6" w:rsidRPr="000B2B38" w:rsidRDefault="006A1FF6" w:rsidP="006A1FF6">
      <w:pPr>
        <w:spacing w:line="480" w:lineRule="auto"/>
      </w:pPr>
    </w:p>
    <w:p w:rsidR="00F34AA7" w:rsidRPr="000B2B38" w:rsidRDefault="00F928F0" w:rsidP="00965F45">
      <w:pPr>
        <w:spacing w:line="480" w:lineRule="auto"/>
        <w:ind w:left="2160" w:firstLine="720"/>
        <w:contextualSpacing/>
      </w:pPr>
      <w:r w:rsidRPr="000B2B38">
        <w:rPr>
          <w:rFonts w:cs="Trebuchet MS"/>
          <w:szCs w:val="26"/>
        </w:rPr>
        <w:lastRenderedPageBreak/>
        <w:t>Case S</w:t>
      </w:r>
      <w:r w:rsidR="00F34AA7" w:rsidRPr="000B2B38">
        <w:rPr>
          <w:rFonts w:cs="Trebuchet MS"/>
          <w:szCs w:val="26"/>
        </w:rPr>
        <w:t xml:space="preserve">tudy 5.2 Frailty </w:t>
      </w:r>
    </w:p>
    <w:p w:rsidR="006B0D73" w:rsidRPr="000B2B38" w:rsidRDefault="00B222C9" w:rsidP="00F928F0">
      <w:pPr>
        <w:widowControl w:val="0"/>
        <w:tabs>
          <w:tab w:val="left" w:pos="220"/>
          <w:tab w:val="left" w:pos="540"/>
          <w:tab w:val="left" w:pos="720"/>
        </w:tabs>
        <w:autoSpaceDE w:val="0"/>
        <w:autoSpaceDN w:val="0"/>
        <w:adjustRightInd w:val="0"/>
        <w:spacing w:after="160" w:line="480" w:lineRule="auto"/>
        <w:contextualSpacing/>
        <w:rPr>
          <w:rFonts w:cs="Verdana"/>
          <w:szCs w:val="22"/>
        </w:rPr>
      </w:pPr>
      <w:r w:rsidRPr="000B2B38">
        <w:t xml:space="preserve">1. </w:t>
      </w:r>
      <w:r w:rsidR="006B0D73" w:rsidRPr="000B2B38">
        <w:t xml:space="preserve">Frailty, </w:t>
      </w:r>
      <w:proofErr w:type="spellStart"/>
      <w:r w:rsidR="006B0D73" w:rsidRPr="000B2B38">
        <w:t>comorbidity</w:t>
      </w:r>
      <w:proofErr w:type="spellEnd"/>
      <w:r w:rsidR="006B0D73" w:rsidRPr="000B2B38">
        <w:t xml:space="preserve">, and disability are terms that often </w:t>
      </w:r>
      <w:r w:rsidR="00965F45" w:rsidRPr="000B2B38">
        <w:t xml:space="preserve">used interchangeably, but each have </w:t>
      </w:r>
      <w:proofErr w:type="spellStart"/>
      <w:r w:rsidR="00965F45" w:rsidRPr="000B2B38">
        <w:t>there</w:t>
      </w:r>
      <w:proofErr w:type="spellEnd"/>
      <w:r w:rsidR="00965F45" w:rsidRPr="000B2B38">
        <w:t xml:space="preserve"> own meaning</w:t>
      </w:r>
      <w:r w:rsidR="006B0D73" w:rsidRPr="000B2B38">
        <w:t xml:space="preserve">. </w:t>
      </w:r>
      <w:proofErr w:type="gramStart"/>
      <w:r w:rsidR="009E3A99" w:rsidRPr="000B2B38">
        <w:t xml:space="preserve">“Frailty </w:t>
      </w:r>
      <w:r w:rsidR="00816E82" w:rsidRPr="000B2B38">
        <w:t>is perceived as a general decline in the physical function of older adults that can increase vulnerability to illness and decline” (</w:t>
      </w:r>
      <w:proofErr w:type="spellStart"/>
      <w:r w:rsidR="00816E82" w:rsidRPr="000B2B38">
        <w:t>Mauk</w:t>
      </w:r>
      <w:proofErr w:type="spellEnd"/>
      <w:r w:rsidR="00816E82" w:rsidRPr="000B2B38">
        <w:t>, 2010, p. 304).</w:t>
      </w:r>
      <w:proofErr w:type="gramEnd"/>
      <w:r w:rsidR="009E3A99" w:rsidRPr="000B2B38">
        <w:t xml:space="preserve"> Frailty can also be defined as </w:t>
      </w:r>
      <w:r w:rsidR="009E3A99" w:rsidRPr="000B2B38">
        <w:rPr>
          <w:rFonts w:cs="Verdana"/>
          <w:szCs w:val="22"/>
        </w:rPr>
        <w:t>"a state of high vulnerability for adverse health outcomes, including disability, dependency, falls, need for long-term care, and mortality" (</w:t>
      </w:r>
      <w:r w:rsidR="003B1D1B" w:rsidRPr="000B2B38">
        <w:rPr>
          <w:rFonts w:cs="Verdana"/>
          <w:szCs w:val="22"/>
        </w:rPr>
        <w:t xml:space="preserve">Anderson, Darer, </w:t>
      </w:r>
      <w:r w:rsidR="009E3A99" w:rsidRPr="000B2B38">
        <w:rPr>
          <w:rFonts w:cs="Verdana"/>
          <w:szCs w:val="22"/>
        </w:rPr>
        <w:t>Frie</w:t>
      </w:r>
      <w:r w:rsidR="003B1D1B" w:rsidRPr="000B2B38">
        <w:rPr>
          <w:rFonts w:cs="Verdana"/>
          <w:szCs w:val="22"/>
        </w:rPr>
        <w:t xml:space="preserve">d, </w:t>
      </w:r>
      <w:proofErr w:type="spellStart"/>
      <w:r w:rsidR="003B1D1B" w:rsidRPr="000B2B38">
        <w:rPr>
          <w:rFonts w:cs="Verdana"/>
          <w:szCs w:val="22"/>
        </w:rPr>
        <w:t>Ferrucci</w:t>
      </w:r>
      <w:proofErr w:type="spellEnd"/>
      <w:r w:rsidR="003B1D1B" w:rsidRPr="000B2B38">
        <w:rPr>
          <w:rFonts w:cs="Verdana"/>
          <w:szCs w:val="22"/>
        </w:rPr>
        <w:t xml:space="preserve">, &amp; Williamson, </w:t>
      </w:r>
      <w:commentRangeStart w:id="0"/>
      <w:r w:rsidR="009E3A99" w:rsidRPr="000B2B38">
        <w:rPr>
          <w:rFonts w:cs="Verdana"/>
          <w:szCs w:val="22"/>
        </w:rPr>
        <w:t>2004</w:t>
      </w:r>
      <w:commentRangeEnd w:id="0"/>
      <w:r w:rsidR="00396469">
        <w:rPr>
          <w:rStyle w:val="CommentReference"/>
        </w:rPr>
        <w:commentReference w:id="0"/>
      </w:r>
      <w:r w:rsidR="009E3A99" w:rsidRPr="000B2B38">
        <w:rPr>
          <w:rFonts w:cs="Verdana"/>
          <w:szCs w:val="22"/>
        </w:rPr>
        <w:t>). </w:t>
      </w:r>
      <w:r w:rsidR="006B0D73" w:rsidRPr="000B2B38">
        <w:rPr>
          <w:rFonts w:cs="Verdana"/>
          <w:szCs w:val="22"/>
        </w:rPr>
        <w:t>“</w:t>
      </w:r>
      <w:proofErr w:type="spellStart"/>
      <w:r w:rsidR="006B0D73" w:rsidRPr="000B2B38">
        <w:rPr>
          <w:rFonts w:cs="Verdana"/>
          <w:szCs w:val="22"/>
        </w:rPr>
        <w:t>Comorbidity</w:t>
      </w:r>
      <w:proofErr w:type="spellEnd"/>
      <w:r w:rsidR="006B0D73" w:rsidRPr="000B2B38">
        <w:rPr>
          <w:rFonts w:cs="Verdana"/>
          <w:szCs w:val="22"/>
        </w:rPr>
        <w:t xml:space="preserve"> refers to the occurrence of two or more distinguishably different disease processes in a person. </w:t>
      </w:r>
      <w:proofErr w:type="gramStart"/>
      <w:r w:rsidR="006B0D73" w:rsidRPr="000B2B38">
        <w:rPr>
          <w:rFonts w:cs="Verdana"/>
          <w:szCs w:val="22"/>
        </w:rPr>
        <w:t>Disability relates to the inability to carry out activities of daily living” (</w:t>
      </w:r>
      <w:r w:rsidR="00FA697E" w:rsidRPr="000B2B38">
        <w:rPr>
          <w:rFonts w:cs="Verdana"/>
          <w:szCs w:val="22"/>
        </w:rPr>
        <w:t xml:space="preserve">Anderson, Darer, </w:t>
      </w:r>
      <w:r w:rsidR="006B0D73" w:rsidRPr="000B2B38">
        <w:rPr>
          <w:rFonts w:cs="Verdana"/>
          <w:szCs w:val="22"/>
        </w:rPr>
        <w:t xml:space="preserve">Fried, </w:t>
      </w:r>
      <w:proofErr w:type="spellStart"/>
      <w:r w:rsidR="006B0D73" w:rsidRPr="000B2B38">
        <w:rPr>
          <w:rFonts w:cs="Verdana"/>
          <w:szCs w:val="22"/>
        </w:rPr>
        <w:t>Ferrucc</w:t>
      </w:r>
      <w:r w:rsidR="00FA697E" w:rsidRPr="000B2B38">
        <w:rPr>
          <w:rFonts w:cs="Verdana"/>
          <w:szCs w:val="22"/>
        </w:rPr>
        <w:t>i</w:t>
      </w:r>
      <w:proofErr w:type="spellEnd"/>
      <w:r w:rsidR="00FA697E" w:rsidRPr="000B2B38">
        <w:rPr>
          <w:rFonts w:cs="Verdana"/>
          <w:szCs w:val="22"/>
        </w:rPr>
        <w:t>, &amp; Williamson</w:t>
      </w:r>
      <w:r w:rsidR="006B0D73" w:rsidRPr="000B2B38">
        <w:rPr>
          <w:rFonts w:cs="Verdana"/>
          <w:szCs w:val="22"/>
        </w:rPr>
        <w:t xml:space="preserve">, </w:t>
      </w:r>
      <w:commentRangeStart w:id="1"/>
      <w:r w:rsidR="006B0D73" w:rsidRPr="000B2B38">
        <w:rPr>
          <w:rFonts w:cs="Verdana"/>
          <w:szCs w:val="22"/>
        </w:rPr>
        <w:t>2004</w:t>
      </w:r>
      <w:commentRangeEnd w:id="1"/>
      <w:r w:rsidR="00396469">
        <w:rPr>
          <w:rStyle w:val="CommentReference"/>
        </w:rPr>
        <w:commentReference w:id="1"/>
      </w:r>
      <w:r w:rsidR="006B0D73" w:rsidRPr="000B2B38">
        <w:rPr>
          <w:rFonts w:cs="Verdana"/>
          <w:szCs w:val="22"/>
        </w:rPr>
        <w:t>).</w:t>
      </w:r>
      <w:proofErr w:type="gramEnd"/>
      <w:r w:rsidR="006B0D73" w:rsidRPr="000B2B38">
        <w:rPr>
          <w:rFonts w:cs="Verdana"/>
          <w:szCs w:val="22"/>
        </w:rPr>
        <w:t xml:space="preserve"> </w:t>
      </w:r>
      <w:r w:rsidR="009E3A99" w:rsidRPr="000B2B38">
        <w:rPr>
          <w:rFonts w:cs="Verdana"/>
          <w:szCs w:val="22"/>
        </w:rPr>
        <w:t>“Disability can arise from dysfunction of a single system or from many systems, but frailty always implies multisystem dysfunction. Disability need not be associated with instability, whereas frailty necessarily is” (</w:t>
      </w:r>
      <w:r w:rsidR="003B1D1B" w:rsidRPr="000B2B38">
        <w:rPr>
          <w:rFonts w:cs="Verdana"/>
          <w:szCs w:val="22"/>
        </w:rPr>
        <w:t>Hogan,</w:t>
      </w:r>
      <w:r w:rsidR="009E3A99" w:rsidRPr="000B2B38">
        <w:rPr>
          <w:rFonts w:cs="Verdana"/>
          <w:szCs w:val="22"/>
        </w:rPr>
        <w:t xml:space="preserve"> </w:t>
      </w:r>
      <w:proofErr w:type="spellStart"/>
      <w:r w:rsidR="009E3A99" w:rsidRPr="000B2B38">
        <w:rPr>
          <w:rFonts w:cs="Verdana"/>
          <w:szCs w:val="22"/>
        </w:rPr>
        <w:t>MacKnight</w:t>
      </w:r>
      <w:proofErr w:type="spellEnd"/>
      <w:r w:rsidR="009E3A99" w:rsidRPr="000B2B38">
        <w:rPr>
          <w:rFonts w:cs="Verdana"/>
          <w:szCs w:val="22"/>
        </w:rPr>
        <w:t>,</w:t>
      </w:r>
      <w:r w:rsidR="003B1D1B" w:rsidRPr="000B2B38">
        <w:rPr>
          <w:rFonts w:cs="Verdana"/>
          <w:szCs w:val="22"/>
        </w:rPr>
        <w:t xml:space="preserve"> &amp; Rockwood,</w:t>
      </w:r>
      <w:r w:rsidR="009E3A99" w:rsidRPr="000B2B38">
        <w:rPr>
          <w:rFonts w:cs="Verdana"/>
          <w:szCs w:val="22"/>
        </w:rPr>
        <w:t xml:space="preserve"> </w:t>
      </w:r>
      <w:commentRangeStart w:id="2"/>
      <w:r w:rsidR="009E3A99" w:rsidRPr="000B2B38">
        <w:rPr>
          <w:rFonts w:cs="Verdana"/>
          <w:szCs w:val="22"/>
        </w:rPr>
        <w:t>2000</w:t>
      </w:r>
      <w:commentRangeEnd w:id="2"/>
      <w:r w:rsidR="00396469">
        <w:rPr>
          <w:rStyle w:val="CommentReference"/>
        </w:rPr>
        <w:commentReference w:id="2"/>
      </w:r>
      <w:r w:rsidR="009E3A99" w:rsidRPr="000B2B38">
        <w:rPr>
          <w:rFonts w:cs="Verdana"/>
          <w:szCs w:val="22"/>
        </w:rPr>
        <w:t>). </w:t>
      </w:r>
    </w:p>
    <w:p w:rsidR="006B0D73" w:rsidRPr="000B2B38" w:rsidRDefault="006B0D73" w:rsidP="00F928F0">
      <w:pPr>
        <w:spacing w:line="480" w:lineRule="auto"/>
        <w:contextualSpacing/>
      </w:pPr>
      <w:r w:rsidRPr="000B2B38">
        <w:t>2. A syndrome has many identifiable features or signs that can be observed. Frailty has many signs or characteristics that define it, which is why it is considered a syndrome. “Defining characteristics include unintentional weight loss of more than 10% in the prior year, feelings of exhaustion, grip strength weakest 20% for age, walking speed in the lowest 20% for age, and low caloric expenditure (&lt;270 kcal) per week on physical activity” (</w:t>
      </w:r>
      <w:proofErr w:type="spellStart"/>
      <w:r w:rsidRPr="000B2B38">
        <w:t>Mauk</w:t>
      </w:r>
      <w:proofErr w:type="spellEnd"/>
      <w:r w:rsidRPr="000B2B38">
        <w:t xml:space="preserve">, 2010, p. 304). </w:t>
      </w:r>
      <w:r w:rsidR="00965F45" w:rsidRPr="000B2B38">
        <w:t>“</w:t>
      </w:r>
      <w:r w:rsidR="00965F45" w:rsidRPr="000B2B38">
        <w:rPr>
          <w:rFonts w:cs="Verdana"/>
          <w:szCs w:val="22"/>
        </w:rPr>
        <w:t>Frailty is a syndrome associated with reduced functional reserve, impairment in multiple physiological systems, and reduced ability to regain physiological homeostasis” (</w:t>
      </w:r>
      <w:proofErr w:type="spellStart"/>
      <w:r w:rsidR="00965F45" w:rsidRPr="000B2B38">
        <w:rPr>
          <w:rFonts w:cs="Verdana"/>
          <w:szCs w:val="22"/>
        </w:rPr>
        <w:t>Bartali</w:t>
      </w:r>
      <w:proofErr w:type="spellEnd"/>
      <w:r w:rsidR="00965F45" w:rsidRPr="000B2B38">
        <w:rPr>
          <w:rFonts w:cs="Verdana"/>
          <w:szCs w:val="22"/>
        </w:rPr>
        <w:t xml:space="preserve"> et al., </w:t>
      </w:r>
      <w:commentRangeStart w:id="3"/>
      <w:r w:rsidR="00965F45" w:rsidRPr="000B2B38">
        <w:rPr>
          <w:rFonts w:cs="Verdana"/>
          <w:szCs w:val="22"/>
        </w:rPr>
        <w:t>2006</w:t>
      </w:r>
      <w:commentRangeEnd w:id="3"/>
      <w:r w:rsidR="00396469">
        <w:rPr>
          <w:rStyle w:val="CommentReference"/>
        </w:rPr>
        <w:commentReference w:id="3"/>
      </w:r>
      <w:r w:rsidR="00965F45" w:rsidRPr="000B2B38">
        <w:rPr>
          <w:rFonts w:cs="Verdana"/>
          <w:szCs w:val="22"/>
        </w:rPr>
        <w:t>). </w:t>
      </w:r>
    </w:p>
    <w:p w:rsidR="00B222C9" w:rsidRPr="000B2B38" w:rsidRDefault="006B0D73" w:rsidP="00F928F0">
      <w:pPr>
        <w:spacing w:line="480" w:lineRule="auto"/>
        <w:contextualSpacing/>
      </w:pPr>
      <w:r w:rsidRPr="000B2B38">
        <w:lastRenderedPageBreak/>
        <w:t xml:space="preserve">3. </w:t>
      </w:r>
      <w:r w:rsidR="00B222C9" w:rsidRPr="000B2B38">
        <w:t xml:space="preserve">According to the frailty assessment tool Mrs. Gibson’s actual score is three. If a person has three or more of the components they are considered frail. </w:t>
      </w:r>
    </w:p>
    <w:p w:rsidR="006A1FF6" w:rsidRPr="000B2B38" w:rsidRDefault="00B222C9" w:rsidP="00F928F0">
      <w:pPr>
        <w:spacing w:line="480" w:lineRule="auto"/>
        <w:contextualSpacing/>
      </w:pPr>
      <w:r w:rsidRPr="000B2B38">
        <w:t>4. “</w:t>
      </w:r>
      <w:r w:rsidRPr="000B2B38">
        <w:rPr>
          <w:rFonts w:cs="Verdana"/>
          <w:szCs w:val="22"/>
        </w:rPr>
        <w:t>Primary frailty has no underlying, pathological causative factors, whereas secondary frailty originates from underlying, pathological causative factors” (</w:t>
      </w:r>
      <w:r w:rsidR="004E41E1" w:rsidRPr="000B2B38">
        <w:rPr>
          <w:rFonts w:cs="Verdana"/>
          <w:szCs w:val="22"/>
        </w:rPr>
        <w:t xml:space="preserve">Anderson, Darer, </w:t>
      </w:r>
      <w:r w:rsidRPr="000B2B38">
        <w:rPr>
          <w:rFonts w:cs="Verdana"/>
          <w:szCs w:val="22"/>
        </w:rPr>
        <w:t xml:space="preserve">Fried, </w:t>
      </w:r>
      <w:proofErr w:type="spellStart"/>
      <w:r w:rsidRPr="000B2B38">
        <w:rPr>
          <w:rFonts w:cs="Verdana"/>
          <w:szCs w:val="22"/>
        </w:rPr>
        <w:t>Ferrucci</w:t>
      </w:r>
      <w:proofErr w:type="spellEnd"/>
      <w:r w:rsidRPr="000B2B38">
        <w:rPr>
          <w:rFonts w:cs="Verdana"/>
          <w:szCs w:val="22"/>
        </w:rPr>
        <w:t xml:space="preserve">, </w:t>
      </w:r>
      <w:r w:rsidR="004E41E1" w:rsidRPr="000B2B38">
        <w:rPr>
          <w:rFonts w:cs="Verdana"/>
          <w:szCs w:val="22"/>
        </w:rPr>
        <w:t xml:space="preserve">&amp; Williamson, </w:t>
      </w:r>
      <w:commentRangeStart w:id="4"/>
      <w:r w:rsidRPr="000B2B38">
        <w:rPr>
          <w:rFonts w:cs="Verdana"/>
          <w:szCs w:val="22"/>
        </w:rPr>
        <w:t>2004</w:t>
      </w:r>
      <w:commentRangeEnd w:id="4"/>
      <w:r w:rsidR="00396469">
        <w:rPr>
          <w:rStyle w:val="CommentReference"/>
        </w:rPr>
        <w:commentReference w:id="4"/>
      </w:r>
      <w:r w:rsidRPr="000B2B38">
        <w:rPr>
          <w:rFonts w:cs="Verdana"/>
          <w:szCs w:val="22"/>
        </w:rPr>
        <w:t>).   </w:t>
      </w:r>
    </w:p>
    <w:p w:rsidR="006A74AE" w:rsidRPr="000B2B38" w:rsidRDefault="00B222C9" w:rsidP="00F928F0">
      <w:pPr>
        <w:spacing w:line="480" w:lineRule="auto"/>
        <w:contextualSpacing/>
      </w:pPr>
      <w:r w:rsidRPr="000B2B38">
        <w:t xml:space="preserve">5. </w:t>
      </w:r>
      <w:r w:rsidR="00F520C6" w:rsidRPr="000B2B38">
        <w:t xml:space="preserve">The criteria that comprise the six physiological- based risk factors for frailty are activated inflammation, immune system dysfunction, anemia, endocrine system alteration, underweight or </w:t>
      </w:r>
      <w:r w:rsidR="006A74AE" w:rsidRPr="000B2B38">
        <w:t>overweight, and age</w:t>
      </w:r>
      <w:r w:rsidR="00F520C6" w:rsidRPr="000B2B38">
        <w:t xml:space="preserve"> (Espinoza &amp; Fried, 2007, p. 39)</w:t>
      </w:r>
      <w:r w:rsidR="006A74AE" w:rsidRPr="000B2B38">
        <w:t>.</w:t>
      </w:r>
    </w:p>
    <w:p w:rsidR="006A1FF6" w:rsidRPr="000B2B38" w:rsidRDefault="006A74AE" w:rsidP="00F928F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contextualSpacing/>
        <w:rPr>
          <w:rFonts w:cs="Helvetica"/>
        </w:rPr>
      </w:pPr>
      <w:r w:rsidRPr="000B2B38">
        <w:t xml:space="preserve">6. The </w:t>
      </w:r>
      <w:proofErr w:type="spellStart"/>
      <w:r w:rsidRPr="000B2B38">
        <w:t>sociodemographic</w:t>
      </w:r>
      <w:proofErr w:type="spellEnd"/>
      <w:r w:rsidR="007A2DD5" w:rsidRPr="000B2B38">
        <w:t xml:space="preserve"> and </w:t>
      </w:r>
      <w:r w:rsidR="00EF6ACC" w:rsidRPr="000B2B38">
        <w:t>psychological</w:t>
      </w:r>
      <w:r w:rsidRPr="000B2B38">
        <w:t xml:space="preserve"> risk factors that </w:t>
      </w:r>
      <w:r w:rsidR="007A2DD5" w:rsidRPr="000B2B38">
        <w:t>are</w:t>
      </w:r>
      <w:r w:rsidRPr="000B2B38">
        <w:t xml:space="preserve"> presented in the article </w:t>
      </w:r>
      <w:r w:rsidR="007A2DD5" w:rsidRPr="000B2B38">
        <w:t>are</w:t>
      </w:r>
      <w:r w:rsidRPr="000B2B38">
        <w:t xml:space="preserve"> </w:t>
      </w:r>
      <w:r w:rsidR="007A2DD5" w:rsidRPr="000B2B38">
        <w:t xml:space="preserve">female gender, low socioeconomic status, race and ethnicity, and depression. Women are more likely to be considered frail then men (Espinoza &amp; Fried, 2007, p. 42). People who are not well educated or have a low income are also </w:t>
      </w:r>
      <w:proofErr w:type="gramStart"/>
      <w:r w:rsidR="007A2DD5" w:rsidRPr="000B2B38">
        <w:t>more</w:t>
      </w:r>
      <w:proofErr w:type="gramEnd"/>
      <w:r w:rsidR="007A2DD5" w:rsidRPr="000B2B38">
        <w:t xml:space="preserve"> inclined to be frail when compared to others who are better educated and have a higher income (Espinoza &amp; Fried, 2007, p. 42). It has been shown through research that older non-white individuals are at a higher risk for frailty (Espinoza &amp; Fried, 2007, p. 43). “</w:t>
      </w:r>
      <w:r w:rsidR="007A2DD5" w:rsidRPr="000B2B38">
        <w:rPr>
          <w:rFonts w:cs="Times"/>
          <w:szCs w:val="22"/>
        </w:rPr>
        <w:t>The</w:t>
      </w:r>
      <w:r w:rsidR="007A2DD5" w:rsidRPr="000B2B38">
        <w:rPr>
          <w:rFonts w:cs="Helvetica"/>
        </w:rPr>
        <w:t xml:space="preserve"> </w:t>
      </w:r>
      <w:r w:rsidR="007A2DD5" w:rsidRPr="000B2B38">
        <w:rPr>
          <w:rFonts w:cs="Times"/>
          <w:szCs w:val="22"/>
        </w:rPr>
        <w:t>hypothesis that depression or the presence of depressive symptoms leads to frailty is biologically</w:t>
      </w:r>
      <w:r w:rsidR="007A2DD5" w:rsidRPr="000B2B38">
        <w:rPr>
          <w:rFonts w:cs="Helvetica"/>
        </w:rPr>
        <w:t xml:space="preserve"> </w:t>
      </w:r>
      <w:r w:rsidR="007A2DD5" w:rsidRPr="000B2B38">
        <w:rPr>
          <w:rFonts w:cs="Times"/>
          <w:szCs w:val="22"/>
        </w:rPr>
        <w:t xml:space="preserve">plausible, given that individuals with depression often lose weight, become less active, and can therefore lose muscle mass, strength, and exercise tolerance, and may be more prone to acute illness” </w:t>
      </w:r>
      <w:r w:rsidR="007A2DD5" w:rsidRPr="000B2B38">
        <w:t xml:space="preserve">(Espinoza &amp; Fried, 2007, p. 43). </w:t>
      </w:r>
    </w:p>
    <w:p w:rsidR="00EF6ACC" w:rsidRPr="000B2B38" w:rsidRDefault="007A2DD5" w:rsidP="00F928F0">
      <w:pPr>
        <w:spacing w:line="480" w:lineRule="auto"/>
        <w:contextualSpacing/>
      </w:pPr>
      <w:r w:rsidRPr="000B2B38">
        <w:t xml:space="preserve">7. The risk factors that would not be modifiable </w:t>
      </w:r>
      <w:r w:rsidR="00EF6ACC" w:rsidRPr="000B2B38">
        <w:t>could be</w:t>
      </w:r>
      <w:r w:rsidRPr="000B2B38">
        <w:t xml:space="preserve"> physiologic- based</w:t>
      </w:r>
      <w:r w:rsidR="00EF6ACC" w:rsidRPr="000B2B38">
        <w:t xml:space="preserve">, psychological, or </w:t>
      </w:r>
      <w:proofErr w:type="spellStart"/>
      <w:r w:rsidR="00EF6ACC" w:rsidRPr="000B2B38">
        <w:t>sociodemographic</w:t>
      </w:r>
      <w:proofErr w:type="spellEnd"/>
      <w:r w:rsidR="00EF6ACC" w:rsidRPr="000B2B38">
        <w:t xml:space="preserve"> related</w:t>
      </w:r>
      <w:r w:rsidRPr="000B2B38">
        <w:t>. Unless they are currently taking medications to reduce inflammation and correct an</w:t>
      </w:r>
      <w:r w:rsidR="00F74BEC" w:rsidRPr="000B2B38">
        <w:t xml:space="preserve">emia these would not be </w:t>
      </w:r>
      <w:r w:rsidR="00F74BEC" w:rsidRPr="000B2B38">
        <w:lastRenderedPageBreak/>
        <w:t>modifiable</w:t>
      </w:r>
      <w:r w:rsidRPr="000B2B38">
        <w:t>.</w:t>
      </w:r>
      <w:r w:rsidR="00157DA9" w:rsidRPr="000B2B38">
        <w:t xml:space="preserve"> People also do not have control over their age</w:t>
      </w:r>
      <w:r w:rsidR="00EF6ACC" w:rsidRPr="000B2B38">
        <w:t>, ethnicity</w:t>
      </w:r>
      <w:r w:rsidR="00F74BEC" w:rsidRPr="000B2B38">
        <w:t>,</w:t>
      </w:r>
      <w:r w:rsidR="00EF6ACC" w:rsidRPr="000B2B38">
        <w:t xml:space="preserve"> or race</w:t>
      </w:r>
      <w:r w:rsidR="00F74BEC" w:rsidRPr="000B2B38">
        <w:t xml:space="preserve"> and in turn cannot be altered</w:t>
      </w:r>
      <w:r w:rsidR="00157DA9" w:rsidRPr="000B2B38">
        <w:t>. It may also not be plausible to believe that elderly adults can change their education or income levels. They may be able to ask family to help them financially but otherwise their personal annual incom</w:t>
      </w:r>
      <w:r w:rsidR="000B2B38" w:rsidRPr="000B2B38">
        <w:t>e is not going to change significantly</w:t>
      </w:r>
      <w:r w:rsidR="00157DA9" w:rsidRPr="000B2B38">
        <w:t xml:space="preserve">. Depression may not be modifiable unless </w:t>
      </w:r>
      <w:r w:rsidR="00EF6ACC" w:rsidRPr="000B2B38">
        <w:t xml:space="preserve">they are seeing a psychiatrist or prescribed medications to help. </w:t>
      </w:r>
      <w:r w:rsidR="00157DA9" w:rsidRPr="000B2B38">
        <w:t xml:space="preserve"> </w:t>
      </w:r>
    </w:p>
    <w:p w:rsidR="005D6001" w:rsidRDefault="00EF6ACC" w:rsidP="00F928F0">
      <w:pPr>
        <w:spacing w:line="480" w:lineRule="auto"/>
        <w:contextualSpacing/>
      </w:pPr>
      <w:r w:rsidRPr="000B2B38">
        <w:t xml:space="preserve">8. </w:t>
      </w:r>
      <w:r w:rsidR="003D1383" w:rsidRPr="000B2B38">
        <w:t xml:space="preserve">Nutritional supplements as an alternative medicine intervention for frailty </w:t>
      </w:r>
      <w:r w:rsidR="00603F54" w:rsidRPr="000B2B38">
        <w:t>include</w:t>
      </w:r>
      <w:r w:rsidR="003D1383" w:rsidRPr="000B2B38">
        <w:t xml:space="preserve"> </w:t>
      </w:r>
      <w:proofErr w:type="spellStart"/>
      <w:r w:rsidR="003D1383" w:rsidRPr="000B2B38">
        <w:t>carotenoids</w:t>
      </w:r>
      <w:proofErr w:type="spellEnd"/>
      <w:r w:rsidR="003D1383" w:rsidRPr="000B2B38">
        <w:t xml:space="preserve">, vitamin D, </w:t>
      </w:r>
      <w:r w:rsidR="002C1ED0">
        <w:t xml:space="preserve">and </w:t>
      </w:r>
      <w:proofErr w:type="spellStart"/>
      <w:r w:rsidR="003D1383" w:rsidRPr="000B2B38">
        <w:t>dehydroepiandrosterone</w:t>
      </w:r>
      <w:proofErr w:type="spellEnd"/>
      <w:r w:rsidR="003D1383" w:rsidRPr="000B2B38">
        <w:t xml:space="preserve"> (DHEA)</w:t>
      </w:r>
      <w:r w:rsidR="00360E76" w:rsidRPr="000B2B38">
        <w:t xml:space="preserve"> (</w:t>
      </w:r>
      <w:proofErr w:type="spellStart"/>
      <w:r w:rsidR="00360E76" w:rsidRPr="000B2B38">
        <w:t>Che</w:t>
      </w:r>
      <w:r w:rsidR="004B1D1D" w:rsidRPr="000B2B38">
        <w:t>r</w:t>
      </w:r>
      <w:r w:rsidR="00360E76" w:rsidRPr="000B2B38">
        <w:t>nia</w:t>
      </w:r>
      <w:r w:rsidR="004B1D1D" w:rsidRPr="000B2B38">
        <w:t>c</w:t>
      </w:r>
      <w:r w:rsidR="00360E76" w:rsidRPr="000B2B38">
        <w:t>k</w:t>
      </w:r>
      <w:proofErr w:type="spellEnd"/>
      <w:r w:rsidR="00360E76" w:rsidRPr="000B2B38">
        <w:t xml:space="preserve">, </w:t>
      </w:r>
      <w:proofErr w:type="spellStart"/>
      <w:r w:rsidR="00360E76" w:rsidRPr="000B2B38">
        <w:t>Florez</w:t>
      </w:r>
      <w:proofErr w:type="spellEnd"/>
      <w:r w:rsidR="00360E76" w:rsidRPr="000B2B38">
        <w:t xml:space="preserve">, &amp; </w:t>
      </w:r>
      <w:proofErr w:type="spellStart"/>
      <w:r w:rsidR="00360E76" w:rsidRPr="000B2B38">
        <w:t>Troen</w:t>
      </w:r>
      <w:proofErr w:type="spellEnd"/>
      <w:r w:rsidR="00360E76" w:rsidRPr="000B2B38">
        <w:t>, 2007)</w:t>
      </w:r>
      <w:r w:rsidR="00E42FDD" w:rsidRPr="000B2B38">
        <w:t xml:space="preserve">. </w:t>
      </w:r>
    </w:p>
    <w:p w:rsidR="00396469" w:rsidRPr="00396469" w:rsidRDefault="00396469" w:rsidP="00F928F0">
      <w:pPr>
        <w:spacing w:line="480" w:lineRule="auto"/>
        <w:contextualSpacing/>
        <w:rPr>
          <w:color w:val="FF0000"/>
        </w:rPr>
      </w:pPr>
      <w:proofErr w:type="gramStart"/>
      <w:r w:rsidRPr="00396469">
        <w:rPr>
          <w:rFonts w:ascii="ITCGaramondStd-Bk" w:hAnsi="ITCGaramondStd-Bk" w:cs="ITCGaramondStd-Bk"/>
          <w:color w:val="FF0000"/>
          <w:sz w:val="20"/>
          <w:szCs w:val="20"/>
        </w:rPr>
        <w:t>A, B, D, and E.</w:t>
      </w:r>
      <w:proofErr w:type="gramEnd"/>
    </w:p>
    <w:p w:rsidR="00F74BEC" w:rsidRPr="000B2B38" w:rsidRDefault="005D6001" w:rsidP="00266C87">
      <w:pPr>
        <w:widowControl w:val="0"/>
        <w:tabs>
          <w:tab w:val="left" w:pos="220"/>
          <w:tab w:val="left" w:pos="720"/>
        </w:tabs>
        <w:autoSpaceDE w:val="0"/>
        <w:autoSpaceDN w:val="0"/>
        <w:adjustRightInd w:val="0"/>
        <w:spacing w:after="160" w:line="480" w:lineRule="auto"/>
        <w:contextualSpacing/>
        <w:rPr>
          <w:rFonts w:cs="Verdana"/>
          <w:szCs w:val="22"/>
        </w:rPr>
      </w:pPr>
      <w:r w:rsidRPr="000B2B38">
        <w:t xml:space="preserve">9. </w:t>
      </w:r>
      <w:r w:rsidR="00603F54" w:rsidRPr="000B2B38">
        <w:t xml:space="preserve">Tai chi may be an appropriate intervention </w:t>
      </w:r>
      <w:r w:rsidR="009E3E34" w:rsidRPr="000B2B38">
        <w:t>for frail elderly adults.</w:t>
      </w:r>
      <w:r w:rsidR="00F74BEC" w:rsidRPr="000B2B38">
        <w:t xml:space="preserve"> “</w:t>
      </w:r>
      <w:r w:rsidR="00F74BEC" w:rsidRPr="000B2B38">
        <w:rPr>
          <w:rFonts w:cs="Verdana"/>
          <w:szCs w:val="22"/>
        </w:rPr>
        <w:t xml:space="preserve">Tai chi is a </w:t>
      </w:r>
    </w:p>
    <w:p w:rsidR="00F74BEC" w:rsidRPr="000B2B38" w:rsidRDefault="00F74BEC" w:rsidP="00266C87">
      <w:pPr>
        <w:widowControl w:val="0"/>
        <w:tabs>
          <w:tab w:val="left" w:pos="220"/>
          <w:tab w:val="left" w:pos="720"/>
        </w:tabs>
        <w:autoSpaceDE w:val="0"/>
        <w:autoSpaceDN w:val="0"/>
        <w:adjustRightInd w:val="0"/>
        <w:spacing w:after="160" w:line="480" w:lineRule="auto"/>
        <w:contextualSpacing/>
        <w:rPr>
          <w:rFonts w:cs="Verdana"/>
          <w:szCs w:val="22"/>
        </w:rPr>
      </w:pPr>
      <w:proofErr w:type="gramStart"/>
      <w:r w:rsidRPr="000B2B38">
        <w:rPr>
          <w:rFonts w:cs="Verdana"/>
          <w:szCs w:val="22"/>
        </w:rPr>
        <w:t>slow</w:t>
      </w:r>
      <w:proofErr w:type="gramEnd"/>
      <w:r w:rsidRPr="000B2B38">
        <w:rPr>
          <w:rFonts w:cs="Verdana"/>
          <w:szCs w:val="22"/>
        </w:rPr>
        <w:t xml:space="preserve"> and gentle exercise regime that involves both physical movement and </w:t>
      </w:r>
    </w:p>
    <w:p w:rsidR="006A1FF6" w:rsidRPr="000B2B38" w:rsidRDefault="00F74BEC" w:rsidP="00266C87">
      <w:pPr>
        <w:widowControl w:val="0"/>
        <w:tabs>
          <w:tab w:val="left" w:pos="220"/>
          <w:tab w:val="left" w:pos="720"/>
        </w:tabs>
        <w:autoSpaceDE w:val="0"/>
        <w:autoSpaceDN w:val="0"/>
        <w:adjustRightInd w:val="0"/>
        <w:spacing w:after="160" w:line="480" w:lineRule="auto"/>
        <w:contextualSpacing/>
        <w:rPr>
          <w:rFonts w:cs="Verdana"/>
          <w:szCs w:val="22"/>
        </w:rPr>
      </w:pPr>
      <w:proofErr w:type="gramStart"/>
      <w:r w:rsidRPr="000B2B38">
        <w:rPr>
          <w:rFonts w:cs="Verdana"/>
          <w:szCs w:val="22"/>
        </w:rPr>
        <w:t>meditation</w:t>
      </w:r>
      <w:proofErr w:type="gramEnd"/>
      <w:r w:rsidRPr="000B2B38">
        <w:rPr>
          <w:rFonts w:cs="Verdana"/>
          <w:szCs w:val="22"/>
        </w:rPr>
        <w:t xml:space="preserve"> to improve balance and gait” (Adler &amp; Roberts, </w:t>
      </w:r>
      <w:commentRangeStart w:id="5"/>
      <w:r w:rsidRPr="000B2B38">
        <w:rPr>
          <w:rFonts w:cs="Verdana"/>
          <w:szCs w:val="22"/>
        </w:rPr>
        <w:t>2006</w:t>
      </w:r>
      <w:commentRangeEnd w:id="5"/>
      <w:r w:rsidR="00396469">
        <w:rPr>
          <w:rStyle w:val="CommentReference"/>
        </w:rPr>
        <w:commentReference w:id="5"/>
      </w:r>
      <w:r w:rsidRPr="000B2B38">
        <w:rPr>
          <w:rFonts w:cs="Verdana"/>
          <w:szCs w:val="22"/>
        </w:rPr>
        <w:t xml:space="preserve">). </w:t>
      </w:r>
      <w:r w:rsidR="009E3E34" w:rsidRPr="000B2B38">
        <w:t>“</w:t>
      </w:r>
      <w:r w:rsidR="009E3E34" w:rsidRPr="000B2B38">
        <w:rPr>
          <w:rFonts w:cs="Helvetica Neue"/>
          <w:szCs w:val="30"/>
        </w:rPr>
        <w:t xml:space="preserve">Tai chi might directly or indirectly address three components of FS--weakness, slow walking speed, and low physical activity. By improving strength and balance, it provides potential benefit for those with reduced ambulatory capacity or a tendency to fall.” </w:t>
      </w:r>
      <w:proofErr w:type="gramStart"/>
      <w:r w:rsidR="009E3E34" w:rsidRPr="000B2B38">
        <w:rPr>
          <w:rFonts w:cs="Helvetica Neue"/>
          <w:szCs w:val="30"/>
        </w:rPr>
        <w:t>(</w:t>
      </w:r>
      <w:proofErr w:type="spellStart"/>
      <w:r w:rsidR="009E3E34" w:rsidRPr="000B2B38">
        <w:rPr>
          <w:rFonts w:cs="Helvetica Neue"/>
          <w:szCs w:val="30"/>
        </w:rPr>
        <w:t>Cherniack</w:t>
      </w:r>
      <w:proofErr w:type="spellEnd"/>
      <w:r w:rsidR="009E3E34" w:rsidRPr="000B2B38">
        <w:rPr>
          <w:rFonts w:cs="Helvetica Neue"/>
          <w:szCs w:val="30"/>
        </w:rPr>
        <w:t xml:space="preserve">, </w:t>
      </w:r>
      <w:proofErr w:type="spellStart"/>
      <w:r w:rsidR="009E3E34" w:rsidRPr="000B2B38">
        <w:rPr>
          <w:rFonts w:cs="Helvetica Neue"/>
          <w:szCs w:val="30"/>
        </w:rPr>
        <w:t>Florez</w:t>
      </w:r>
      <w:proofErr w:type="spellEnd"/>
      <w:r w:rsidR="009E3E34" w:rsidRPr="000B2B38">
        <w:rPr>
          <w:rFonts w:cs="Helvetica Neue"/>
          <w:szCs w:val="30"/>
        </w:rPr>
        <w:t xml:space="preserve">, &amp; </w:t>
      </w:r>
      <w:proofErr w:type="spellStart"/>
      <w:r w:rsidR="009E3E34" w:rsidRPr="000B2B38">
        <w:rPr>
          <w:rFonts w:cs="Helvetica Neue"/>
          <w:szCs w:val="30"/>
        </w:rPr>
        <w:t>Troen</w:t>
      </w:r>
      <w:proofErr w:type="spellEnd"/>
      <w:r w:rsidR="009E3E34" w:rsidRPr="000B2B38">
        <w:rPr>
          <w:rFonts w:cs="Helvetica Neue"/>
          <w:szCs w:val="30"/>
        </w:rPr>
        <w:t xml:space="preserve">, </w:t>
      </w:r>
      <w:commentRangeStart w:id="6"/>
      <w:r w:rsidR="009E3E34" w:rsidRPr="000B2B38">
        <w:rPr>
          <w:rFonts w:cs="Helvetica Neue"/>
          <w:szCs w:val="30"/>
        </w:rPr>
        <w:t>2007</w:t>
      </w:r>
      <w:commentRangeEnd w:id="6"/>
      <w:r w:rsidR="00396469">
        <w:rPr>
          <w:rStyle w:val="CommentReference"/>
        </w:rPr>
        <w:commentReference w:id="6"/>
      </w:r>
      <w:r w:rsidR="009E3E34" w:rsidRPr="000B2B38">
        <w:rPr>
          <w:rFonts w:cs="Helvetica Neue"/>
          <w:szCs w:val="30"/>
        </w:rPr>
        <w:t>).</w:t>
      </w:r>
      <w:proofErr w:type="gramEnd"/>
      <w:r w:rsidR="009E3E34" w:rsidRPr="000B2B38">
        <w:rPr>
          <w:rFonts w:cs="Helvetica Neue"/>
          <w:szCs w:val="30"/>
        </w:rPr>
        <w:t xml:space="preserve">  These could benefit elderly adults greatly by reducing their frailty and decreasing their fall risk. The article also stated that, “while a growing body of literature has suggested tai chi confers many health benefits, including greater balance and reduced falls, there are serious limitations to the studies, including small numbers of subjects, differing outcome measures, and lack of blinding, appropriate controls, standardization of tai chi exercise, and measurements of compliance</w:t>
      </w:r>
      <w:r w:rsidR="009E3E34" w:rsidRPr="000B2B38">
        <w:t>” (</w:t>
      </w:r>
      <w:proofErr w:type="spellStart"/>
      <w:r w:rsidR="009E3E34" w:rsidRPr="000B2B38">
        <w:t>Cherniack</w:t>
      </w:r>
      <w:proofErr w:type="spellEnd"/>
      <w:r w:rsidR="009E3E34" w:rsidRPr="000B2B38">
        <w:t xml:space="preserve">, </w:t>
      </w:r>
      <w:proofErr w:type="spellStart"/>
      <w:r w:rsidR="009E3E34" w:rsidRPr="000B2B38">
        <w:t>Florez</w:t>
      </w:r>
      <w:proofErr w:type="spellEnd"/>
      <w:r w:rsidR="009E3E34" w:rsidRPr="000B2B38">
        <w:t xml:space="preserve">, &amp; </w:t>
      </w:r>
      <w:proofErr w:type="spellStart"/>
      <w:r w:rsidR="009E3E34" w:rsidRPr="000B2B38">
        <w:t>Toren</w:t>
      </w:r>
      <w:proofErr w:type="spellEnd"/>
      <w:r w:rsidR="009E3E34" w:rsidRPr="000B2B38">
        <w:t xml:space="preserve">, </w:t>
      </w:r>
      <w:commentRangeStart w:id="7"/>
      <w:r w:rsidR="009E3E34" w:rsidRPr="000B2B38">
        <w:t>2007</w:t>
      </w:r>
      <w:commentRangeEnd w:id="7"/>
      <w:r w:rsidR="00396469">
        <w:rPr>
          <w:rStyle w:val="CommentReference"/>
        </w:rPr>
        <w:commentReference w:id="7"/>
      </w:r>
      <w:r w:rsidR="009E3E34" w:rsidRPr="000B2B38">
        <w:t xml:space="preserve">). </w:t>
      </w:r>
    </w:p>
    <w:p w:rsidR="006A1FF6" w:rsidRPr="000B2B38" w:rsidRDefault="002E788A" w:rsidP="00F928F0">
      <w:pPr>
        <w:spacing w:line="480" w:lineRule="auto"/>
        <w:contextualSpacing/>
      </w:pPr>
      <w:r w:rsidRPr="000B2B38">
        <w:lastRenderedPageBreak/>
        <w:t xml:space="preserve">10. </w:t>
      </w:r>
      <w:r w:rsidR="007C6842" w:rsidRPr="000B2B38">
        <w:t xml:space="preserve">Universal design </w:t>
      </w:r>
      <w:r w:rsidR="00D5683D" w:rsidRPr="000B2B38">
        <w:t>is a design that creates a more comfortable environment for all people. “</w:t>
      </w:r>
      <w:r w:rsidR="00D5683D" w:rsidRPr="000B2B38">
        <w:rPr>
          <w:rFonts w:cs="Verdana"/>
          <w:szCs w:val="22"/>
        </w:rPr>
        <w:t>Environments that reflect universal design sensitive to older adult needs</w:t>
      </w:r>
      <w:proofErr w:type="gramStart"/>
      <w:r w:rsidR="00D5683D" w:rsidRPr="000B2B38">
        <w:t>”(</w:t>
      </w:r>
      <w:proofErr w:type="spellStart"/>
      <w:proofErr w:type="gramEnd"/>
      <w:r w:rsidR="00D5683D" w:rsidRPr="000B2B38">
        <w:t>Benefield</w:t>
      </w:r>
      <w:proofErr w:type="spellEnd"/>
      <w:r w:rsidR="00D5683D" w:rsidRPr="000B2B38">
        <w:t xml:space="preserve"> &amp; </w:t>
      </w:r>
      <w:proofErr w:type="spellStart"/>
      <w:r w:rsidR="00D5683D" w:rsidRPr="000B2B38">
        <w:t>Higbee</w:t>
      </w:r>
      <w:proofErr w:type="spellEnd"/>
      <w:r w:rsidR="00D5683D" w:rsidRPr="000B2B38">
        <w:t>,</w:t>
      </w:r>
      <w:r w:rsidR="00266C87">
        <w:t xml:space="preserve"> </w:t>
      </w:r>
      <w:commentRangeStart w:id="8"/>
      <w:r w:rsidR="00D5683D" w:rsidRPr="000B2B38">
        <w:t>2007</w:t>
      </w:r>
      <w:commentRangeEnd w:id="8"/>
      <w:r w:rsidR="00396469">
        <w:rPr>
          <w:rStyle w:val="CommentReference"/>
        </w:rPr>
        <w:commentReference w:id="8"/>
      </w:r>
      <w:r w:rsidR="00D5683D" w:rsidRPr="000B2B38">
        <w:t xml:space="preserve">). The article by </w:t>
      </w:r>
      <w:proofErr w:type="spellStart"/>
      <w:r w:rsidR="00D5683D" w:rsidRPr="000B2B38">
        <w:t>Benefield</w:t>
      </w:r>
      <w:proofErr w:type="spellEnd"/>
      <w:r w:rsidR="00D5683D" w:rsidRPr="000B2B38">
        <w:t xml:space="preserve"> and </w:t>
      </w:r>
      <w:proofErr w:type="spellStart"/>
      <w:r w:rsidR="00D5683D" w:rsidRPr="000B2B38">
        <w:t>Higbee</w:t>
      </w:r>
      <w:proofErr w:type="spellEnd"/>
      <w:r w:rsidR="00D5683D" w:rsidRPr="000B2B38">
        <w:t xml:space="preserve"> </w:t>
      </w:r>
      <w:r w:rsidR="00396469">
        <w:rPr>
          <w:color w:val="FF0000"/>
        </w:rPr>
        <w:t>(2007</w:t>
      </w:r>
      <w:proofErr w:type="gramStart"/>
      <w:r w:rsidR="00396469">
        <w:rPr>
          <w:color w:val="FF0000"/>
        </w:rPr>
        <w:t>)</w:t>
      </w:r>
      <w:r w:rsidR="00D5683D" w:rsidRPr="000B2B38">
        <w:t>gives</w:t>
      </w:r>
      <w:proofErr w:type="gramEnd"/>
      <w:r w:rsidR="00D5683D" w:rsidRPr="000B2B38">
        <w:t xml:space="preserve"> us insight on how institutions and agencies will convey universal design for elderly adults. This design will benefit older adults specifically by creating them an environment where they feel comfortable, safe and user friendly for the elderly. </w:t>
      </w:r>
    </w:p>
    <w:p w:rsidR="00EE4E02" w:rsidRPr="000B2B38" w:rsidRDefault="00EE4E02" w:rsidP="006A1FF6">
      <w:pPr>
        <w:jc w:val="center"/>
      </w:pPr>
    </w:p>
    <w:p w:rsidR="00EE4E02" w:rsidRPr="000B2B38" w:rsidRDefault="00EE4E02" w:rsidP="006A1FF6">
      <w:pPr>
        <w:jc w:val="center"/>
      </w:pPr>
    </w:p>
    <w:p w:rsidR="00EE4E02" w:rsidRPr="000B2B38" w:rsidRDefault="00EE4E02" w:rsidP="006A1FF6">
      <w:pPr>
        <w:jc w:val="center"/>
      </w:pPr>
    </w:p>
    <w:p w:rsidR="00EE4E02" w:rsidRPr="000B2B38" w:rsidRDefault="00EE4E02" w:rsidP="006A1FF6">
      <w:pPr>
        <w:jc w:val="center"/>
      </w:pPr>
    </w:p>
    <w:p w:rsidR="00EE4E02" w:rsidRPr="000B2B38" w:rsidRDefault="00EE4E02" w:rsidP="006A1FF6">
      <w:pPr>
        <w:jc w:val="center"/>
      </w:pPr>
    </w:p>
    <w:p w:rsidR="00EE4E02" w:rsidRPr="000B2B38" w:rsidRDefault="00EE4E02" w:rsidP="006A1FF6">
      <w:pPr>
        <w:jc w:val="center"/>
      </w:pPr>
    </w:p>
    <w:p w:rsidR="00EE4E02" w:rsidRPr="000B2B38" w:rsidRDefault="00EE4E02" w:rsidP="006A1FF6">
      <w:pPr>
        <w:jc w:val="center"/>
      </w:pPr>
    </w:p>
    <w:p w:rsidR="00EE4E02" w:rsidRPr="000B2B38" w:rsidRDefault="00EE4E02" w:rsidP="006A1FF6">
      <w:pPr>
        <w:jc w:val="center"/>
      </w:pPr>
    </w:p>
    <w:p w:rsidR="00EE4E02" w:rsidRPr="000B2B38" w:rsidRDefault="00EE4E02" w:rsidP="006A1FF6">
      <w:pPr>
        <w:jc w:val="center"/>
      </w:pPr>
    </w:p>
    <w:p w:rsidR="00EE4E02" w:rsidRPr="000B2B38" w:rsidRDefault="00EE4E02" w:rsidP="006A1FF6">
      <w:pPr>
        <w:jc w:val="center"/>
      </w:pPr>
    </w:p>
    <w:p w:rsidR="00EE4E02" w:rsidRPr="000B2B38" w:rsidRDefault="00EE4E02" w:rsidP="006A1FF6">
      <w:pPr>
        <w:jc w:val="center"/>
      </w:pPr>
    </w:p>
    <w:p w:rsidR="00EE4E02" w:rsidRPr="000B2B38" w:rsidRDefault="00EE4E02" w:rsidP="006A1FF6">
      <w:pPr>
        <w:jc w:val="center"/>
      </w:pPr>
    </w:p>
    <w:p w:rsidR="00EE4E02" w:rsidRPr="000B2B38" w:rsidRDefault="00EE4E02" w:rsidP="006A1FF6">
      <w:pPr>
        <w:jc w:val="center"/>
      </w:pPr>
    </w:p>
    <w:p w:rsidR="00EE4E02" w:rsidRPr="000B2B38" w:rsidRDefault="00EE4E02" w:rsidP="006A1FF6">
      <w:pPr>
        <w:jc w:val="center"/>
      </w:pPr>
    </w:p>
    <w:p w:rsidR="00EE4E02" w:rsidRPr="000B2B38" w:rsidRDefault="00EE4E02" w:rsidP="006A1FF6">
      <w:pPr>
        <w:jc w:val="center"/>
      </w:pPr>
    </w:p>
    <w:p w:rsidR="00EE4E02" w:rsidRPr="000B2B38" w:rsidRDefault="00EE4E02" w:rsidP="006A1FF6">
      <w:pPr>
        <w:jc w:val="center"/>
      </w:pPr>
    </w:p>
    <w:p w:rsidR="00EE4E02" w:rsidRPr="000B2B38" w:rsidRDefault="00EE4E02" w:rsidP="006A1FF6">
      <w:pPr>
        <w:jc w:val="center"/>
      </w:pPr>
    </w:p>
    <w:p w:rsidR="00EB1145" w:rsidRPr="000B2B38" w:rsidRDefault="00EB1145" w:rsidP="006A1FF6">
      <w:pPr>
        <w:jc w:val="center"/>
      </w:pPr>
    </w:p>
    <w:p w:rsidR="00EB1145" w:rsidRPr="000B2B38" w:rsidRDefault="00EB1145" w:rsidP="006A1FF6">
      <w:pPr>
        <w:jc w:val="center"/>
      </w:pPr>
    </w:p>
    <w:p w:rsidR="00F928F0" w:rsidRPr="000B2B38" w:rsidRDefault="00F928F0" w:rsidP="00965F45"/>
    <w:p w:rsidR="00F74BEC" w:rsidRPr="000B2B38" w:rsidRDefault="00464725" w:rsidP="00F928F0">
      <w:pPr>
        <w:contextualSpacing/>
        <w:jc w:val="center"/>
      </w:pPr>
      <w:r w:rsidRPr="000B2B38">
        <w:lastRenderedPageBreak/>
        <w:t>References</w:t>
      </w:r>
    </w:p>
    <w:p w:rsidR="00F74BEC" w:rsidRPr="000B2B38" w:rsidRDefault="00F74BEC" w:rsidP="00F928F0">
      <w:pPr>
        <w:contextualSpacing/>
        <w:jc w:val="center"/>
      </w:pPr>
    </w:p>
    <w:p w:rsidR="00360E76" w:rsidRPr="00266C87" w:rsidRDefault="00F74BEC" w:rsidP="00266C87">
      <w:pPr>
        <w:widowControl w:val="0"/>
        <w:autoSpaceDE w:val="0"/>
        <w:autoSpaceDN w:val="0"/>
        <w:adjustRightInd w:val="0"/>
        <w:spacing w:after="160" w:line="480" w:lineRule="auto"/>
        <w:ind w:left="720" w:hanging="720"/>
        <w:contextualSpacing/>
        <w:rPr>
          <w:rFonts w:cs="Verdana"/>
          <w:szCs w:val="22"/>
        </w:rPr>
      </w:pPr>
      <w:proofErr w:type="gramStart"/>
      <w:r w:rsidRPr="000B2B38">
        <w:rPr>
          <w:rFonts w:cs="Verdana"/>
          <w:szCs w:val="22"/>
        </w:rPr>
        <w:t>Adler, P. A., &amp; Roberts, B. L. (2006).</w:t>
      </w:r>
      <w:proofErr w:type="gramEnd"/>
      <w:r w:rsidRPr="000B2B38">
        <w:rPr>
          <w:rFonts w:cs="Verdana"/>
          <w:szCs w:val="22"/>
        </w:rPr>
        <w:t xml:space="preserve"> </w:t>
      </w:r>
      <w:proofErr w:type="gramStart"/>
      <w:r w:rsidRPr="000B2B38">
        <w:rPr>
          <w:rFonts w:cs="Verdana"/>
          <w:szCs w:val="22"/>
        </w:rPr>
        <w:t>The use of Tai Chi to improve health in older adults.</w:t>
      </w:r>
      <w:proofErr w:type="gramEnd"/>
      <w:r w:rsidRPr="000B2B38">
        <w:rPr>
          <w:rFonts w:cs="Verdana"/>
          <w:szCs w:val="22"/>
        </w:rPr>
        <w:t xml:space="preserve"> </w:t>
      </w:r>
      <w:proofErr w:type="spellStart"/>
      <w:r w:rsidRPr="000B2B38">
        <w:rPr>
          <w:rFonts w:cs="Verdana"/>
          <w:i/>
          <w:iCs/>
          <w:szCs w:val="22"/>
        </w:rPr>
        <w:t>Orthopaedic</w:t>
      </w:r>
      <w:proofErr w:type="spellEnd"/>
      <w:r w:rsidRPr="000B2B38">
        <w:rPr>
          <w:rFonts w:cs="Verdana"/>
          <w:i/>
          <w:iCs/>
          <w:szCs w:val="22"/>
        </w:rPr>
        <w:t xml:space="preserve"> Nursing, 25</w:t>
      </w:r>
      <w:r w:rsidRPr="000B2B38">
        <w:rPr>
          <w:rFonts w:cs="Verdana"/>
          <w:szCs w:val="22"/>
        </w:rPr>
        <w:t>(2), 122-126. Retrieved from http://consultgerirn.org/topics/frailty_and_its_implications_for_care_new/want_to_know_more#Wrap</w:t>
      </w:r>
    </w:p>
    <w:p w:rsidR="00965F45" w:rsidRPr="000B2B38" w:rsidRDefault="00360E76" w:rsidP="00F928F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562" w:hanging="562"/>
        <w:contextualSpacing/>
        <w:rPr>
          <w:szCs w:val="22"/>
        </w:rPr>
      </w:pPr>
      <w:proofErr w:type="gramStart"/>
      <w:r w:rsidRPr="000B2B38">
        <w:rPr>
          <w:szCs w:val="22"/>
        </w:rPr>
        <w:t xml:space="preserve">Anderson, G., Darer, J., Fried, L.P., </w:t>
      </w:r>
      <w:proofErr w:type="spellStart"/>
      <w:r w:rsidRPr="000B2B38">
        <w:rPr>
          <w:szCs w:val="22"/>
        </w:rPr>
        <w:t>Ferrucci</w:t>
      </w:r>
      <w:proofErr w:type="spellEnd"/>
      <w:r w:rsidRPr="000B2B38">
        <w:rPr>
          <w:szCs w:val="22"/>
        </w:rPr>
        <w:t>, L., &amp; Williamson, J.D. (2004).</w:t>
      </w:r>
      <w:proofErr w:type="gramEnd"/>
      <w:r w:rsidRPr="000B2B38">
        <w:rPr>
          <w:szCs w:val="22"/>
        </w:rPr>
        <w:t xml:space="preserve"> </w:t>
      </w:r>
      <w:proofErr w:type="gramStart"/>
      <w:r w:rsidRPr="000B2B38">
        <w:rPr>
          <w:szCs w:val="22"/>
        </w:rPr>
        <w:t xml:space="preserve">Untangling the concepts of disability frailty and </w:t>
      </w:r>
      <w:proofErr w:type="spellStart"/>
      <w:r w:rsidRPr="000B2B38">
        <w:rPr>
          <w:szCs w:val="22"/>
        </w:rPr>
        <w:t>comorbidity</w:t>
      </w:r>
      <w:proofErr w:type="spellEnd"/>
      <w:r w:rsidRPr="000B2B38">
        <w:rPr>
          <w:szCs w:val="22"/>
        </w:rPr>
        <w:t>: Implications for improved targeting and care.</w:t>
      </w:r>
      <w:proofErr w:type="gramEnd"/>
      <w:r w:rsidRPr="000B2B38">
        <w:rPr>
          <w:szCs w:val="22"/>
        </w:rPr>
        <w:t xml:space="preserve"> </w:t>
      </w:r>
      <w:r w:rsidRPr="000B2B38">
        <w:rPr>
          <w:i/>
          <w:szCs w:val="22"/>
        </w:rPr>
        <w:t>Journals of Gerontology Series A- Biological Sciences &amp; Medical Sciences,</w:t>
      </w:r>
      <w:r w:rsidRPr="000B2B38">
        <w:rPr>
          <w:szCs w:val="22"/>
        </w:rPr>
        <w:t xml:space="preserve"> </w:t>
      </w:r>
      <w:r w:rsidRPr="000B2B38">
        <w:rPr>
          <w:i/>
          <w:szCs w:val="22"/>
        </w:rPr>
        <w:t>59(</w:t>
      </w:r>
      <w:r w:rsidRPr="000B2B38">
        <w:rPr>
          <w:szCs w:val="22"/>
        </w:rPr>
        <w:t>3), 255-263.</w:t>
      </w:r>
    </w:p>
    <w:p w:rsidR="006A1FF6" w:rsidRPr="000B2B38" w:rsidRDefault="00965F45" w:rsidP="00F928F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562" w:hanging="562"/>
        <w:contextualSpacing/>
        <w:rPr>
          <w:szCs w:val="22"/>
        </w:rPr>
      </w:pPr>
      <w:proofErr w:type="spellStart"/>
      <w:r w:rsidRPr="000B2B38">
        <w:rPr>
          <w:rFonts w:cs="Verdana"/>
          <w:szCs w:val="22"/>
        </w:rPr>
        <w:t>Bartali</w:t>
      </w:r>
      <w:proofErr w:type="spellEnd"/>
      <w:r w:rsidRPr="000B2B38">
        <w:rPr>
          <w:rFonts w:cs="Verdana"/>
          <w:szCs w:val="22"/>
        </w:rPr>
        <w:t xml:space="preserve">, B., </w:t>
      </w:r>
      <w:proofErr w:type="spellStart"/>
      <w:r w:rsidRPr="000B2B38">
        <w:rPr>
          <w:rFonts w:cs="Verdana"/>
          <w:szCs w:val="22"/>
        </w:rPr>
        <w:t>Frongillo</w:t>
      </w:r>
      <w:proofErr w:type="spellEnd"/>
      <w:r w:rsidRPr="000B2B38">
        <w:rPr>
          <w:rFonts w:cs="Verdana"/>
          <w:szCs w:val="22"/>
        </w:rPr>
        <w:t xml:space="preserve">, E. A., </w:t>
      </w:r>
      <w:proofErr w:type="spellStart"/>
      <w:r w:rsidRPr="000B2B38">
        <w:rPr>
          <w:rFonts w:cs="Verdana"/>
          <w:szCs w:val="22"/>
        </w:rPr>
        <w:t>Bandinelli</w:t>
      </w:r>
      <w:proofErr w:type="spellEnd"/>
      <w:r w:rsidRPr="000B2B38">
        <w:rPr>
          <w:rFonts w:cs="Verdana"/>
          <w:szCs w:val="22"/>
        </w:rPr>
        <w:t xml:space="preserve">, S., </w:t>
      </w:r>
      <w:proofErr w:type="spellStart"/>
      <w:r w:rsidRPr="000B2B38">
        <w:rPr>
          <w:rFonts w:cs="Verdana"/>
          <w:szCs w:val="22"/>
        </w:rPr>
        <w:t>Lauretani</w:t>
      </w:r>
      <w:proofErr w:type="spellEnd"/>
      <w:r w:rsidRPr="000B2B38">
        <w:rPr>
          <w:rFonts w:cs="Verdana"/>
          <w:szCs w:val="22"/>
        </w:rPr>
        <w:t xml:space="preserve">, F., </w:t>
      </w:r>
      <w:proofErr w:type="spellStart"/>
      <w:r w:rsidRPr="000B2B38">
        <w:rPr>
          <w:rFonts w:cs="Verdana"/>
          <w:szCs w:val="22"/>
        </w:rPr>
        <w:t>Semba</w:t>
      </w:r>
      <w:proofErr w:type="spellEnd"/>
      <w:r w:rsidRPr="000B2B38">
        <w:rPr>
          <w:rFonts w:cs="Verdana"/>
          <w:szCs w:val="22"/>
        </w:rPr>
        <w:t xml:space="preserve">, R. D., Fried, L. P., et al. (2006). Low nutrient intake is an essential component of frailty in older persons. </w:t>
      </w:r>
      <w:r w:rsidRPr="000B2B38">
        <w:rPr>
          <w:rFonts w:cs="Verdana"/>
          <w:i/>
          <w:iCs/>
          <w:szCs w:val="22"/>
        </w:rPr>
        <w:t>Journals of Gerontology Series A-Biological Sciences &amp; Medical Sciences, 61</w:t>
      </w:r>
      <w:r w:rsidRPr="000B2B38">
        <w:rPr>
          <w:rFonts w:cs="Verdana"/>
          <w:szCs w:val="22"/>
        </w:rPr>
        <w:t>(6), 589-593.</w:t>
      </w:r>
    </w:p>
    <w:p w:rsidR="000F3185" w:rsidRPr="000B2B38" w:rsidRDefault="00B222C9" w:rsidP="00F928F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562" w:hanging="562"/>
        <w:contextualSpacing/>
        <w:rPr>
          <w:szCs w:val="22"/>
        </w:rPr>
      </w:pPr>
      <w:proofErr w:type="spellStart"/>
      <w:r w:rsidRPr="000B2B38">
        <w:rPr>
          <w:szCs w:val="22"/>
        </w:rPr>
        <w:t>Benefield</w:t>
      </w:r>
      <w:proofErr w:type="spellEnd"/>
      <w:r w:rsidRPr="000B2B38">
        <w:rPr>
          <w:szCs w:val="22"/>
        </w:rPr>
        <w:t xml:space="preserve">, L.E., </w:t>
      </w:r>
      <w:proofErr w:type="spellStart"/>
      <w:r w:rsidRPr="000B2B38">
        <w:rPr>
          <w:szCs w:val="22"/>
        </w:rPr>
        <w:t>Higbee</w:t>
      </w:r>
      <w:proofErr w:type="spellEnd"/>
      <w:r w:rsidRPr="000B2B38">
        <w:rPr>
          <w:szCs w:val="22"/>
        </w:rPr>
        <w:t xml:space="preserve">, R.L. (2007). </w:t>
      </w:r>
      <w:proofErr w:type="gramStart"/>
      <w:r w:rsidRPr="000B2B38">
        <w:rPr>
          <w:szCs w:val="22"/>
        </w:rPr>
        <w:t xml:space="preserve">Frailty and its </w:t>
      </w:r>
      <w:r w:rsidR="00E63A9E" w:rsidRPr="000B2B38">
        <w:rPr>
          <w:szCs w:val="22"/>
        </w:rPr>
        <w:t>implications</w:t>
      </w:r>
      <w:r w:rsidRPr="000B2B38">
        <w:rPr>
          <w:szCs w:val="22"/>
        </w:rPr>
        <w:t xml:space="preserve"> for care.</w:t>
      </w:r>
      <w:proofErr w:type="gramEnd"/>
      <w:r w:rsidRPr="000B2B38">
        <w:rPr>
          <w:szCs w:val="22"/>
        </w:rPr>
        <w:t xml:space="preserve"> </w:t>
      </w:r>
      <w:proofErr w:type="gramStart"/>
      <w:r w:rsidRPr="000B2B38">
        <w:rPr>
          <w:i/>
          <w:szCs w:val="22"/>
        </w:rPr>
        <w:t>Hartford Institute for Geriatric Nursing</w:t>
      </w:r>
      <w:r w:rsidRPr="000B2B38">
        <w:rPr>
          <w:szCs w:val="22"/>
        </w:rPr>
        <w:t>.</w:t>
      </w:r>
      <w:proofErr w:type="gramEnd"/>
      <w:r w:rsidRPr="000B2B38">
        <w:rPr>
          <w:szCs w:val="22"/>
        </w:rPr>
        <w:t xml:space="preserve"> </w:t>
      </w:r>
      <w:r w:rsidR="00E63A9E" w:rsidRPr="000B2B38">
        <w:rPr>
          <w:szCs w:val="22"/>
        </w:rPr>
        <w:t>Retrieved from</w:t>
      </w:r>
      <w:r w:rsidR="00A305EB">
        <w:rPr>
          <w:szCs w:val="22"/>
        </w:rPr>
        <w:t xml:space="preserve"> </w:t>
      </w:r>
      <w:r w:rsidR="00A305EB" w:rsidRPr="00A305EB">
        <w:rPr>
          <w:szCs w:val="22"/>
        </w:rPr>
        <w:t>http://consultgerirn.org/topics/</w:t>
      </w:r>
      <w:r w:rsidR="00A305EB">
        <w:rPr>
          <w:szCs w:val="22"/>
        </w:rPr>
        <w:t xml:space="preserve"> f</w:t>
      </w:r>
      <w:r w:rsidR="00E63A9E" w:rsidRPr="000B2B38">
        <w:rPr>
          <w:szCs w:val="22"/>
        </w:rPr>
        <w:t>railty_and_its_implications_for_care_new/want_to_know_more#item_4</w:t>
      </w:r>
    </w:p>
    <w:p w:rsidR="00F520C6" w:rsidRPr="000B2B38" w:rsidRDefault="000F3185" w:rsidP="00F928F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562" w:hanging="562"/>
        <w:contextualSpacing/>
        <w:rPr>
          <w:szCs w:val="22"/>
        </w:rPr>
      </w:pPr>
      <w:proofErr w:type="spellStart"/>
      <w:proofErr w:type="gramStart"/>
      <w:r w:rsidRPr="000B2B38">
        <w:rPr>
          <w:szCs w:val="22"/>
        </w:rPr>
        <w:t>Che</w:t>
      </w:r>
      <w:r w:rsidR="004B1D1D" w:rsidRPr="000B2B38">
        <w:rPr>
          <w:szCs w:val="22"/>
        </w:rPr>
        <w:t>r</w:t>
      </w:r>
      <w:r w:rsidRPr="000B2B38">
        <w:rPr>
          <w:szCs w:val="22"/>
        </w:rPr>
        <w:t>nia</w:t>
      </w:r>
      <w:r w:rsidR="004B1D1D" w:rsidRPr="000B2B38">
        <w:rPr>
          <w:szCs w:val="22"/>
        </w:rPr>
        <w:t>c</w:t>
      </w:r>
      <w:r w:rsidRPr="000B2B38">
        <w:rPr>
          <w:szCs w:val="22"/>
        </w:rPr>
        <w:t>k</w:t>
      </w:r>
      <w:proofErr w:type="spellEnd"/>
      <w:r w:rsidRPr="000B2B38">
        <w:rPr>
          <w:szCs w:val="22"/>
        </w:rPr>
        <w:t xml:space="preserve"> E.P., Hermes, J.F.,</w:t>
      </w:r>
      <w:r w:rsidR="00396469">
        <w:rPr>
          <w:szCs w:val="22"/>
        </w:rPr>
        <w:t xml:space="preserve"> </w:t>
      </w:r>
      <w:r w:rsidR="00396469">
        <w:rPr>
          <w:color w:val="FF0000"/>
          <w:szCs w:val="22"/>
        </w:rPr>
        <w:t>&amp;</w:t>
      </w:r>
      <w:r w:rsidRPr="000B2B38">
        <w:rPr>
          <w:szCs w:val="22"/>
        </w:rPr>
        <w:t xml:space="preserve"> </w:t>
      </w:r>
      <w:proofErr w:type="spellStart"/>
      <w:r w:rsidRPr="000B2B38">
        <w:rPr>
          <w:szCs w:val="22"/>
        </w:rPr>
        <w:t>Troen</w:t>
      </w:r>
      <w:proofErr w:type="spellEnd"/>
      <w:r w:rsidRPr="000B2B38">
        <w:rPr>
          <w:szCs w:val="22"/>
        </w:rPr>
        <w:t>, B.R. (2011).</w:t>
      </w:r>
      <w:proofErr w:type="gramEnd"/>
      <w:r w:rsidRPr="000B2B38">
        <w:rPr>
          <w:szCs w:val="22"/>
        </w:rPr>
        <w:t xml:space="preserve"> </w:t>
      </w:r>
      <w:proofErr w:type="gramStart"/>
      <w:r w:rsidRPr="000B2B38">
        <w:rPr>
          <w:szCs w:val="22"/>
        </w:rPr>
        <w:t>Emerging therapies to treat frailty syndrome in the elderly.</w:t>
      </w:r>
      <w:proofErr w:type="gramEnd"/>
      <w:r w:rsidRPr="000B2B38">
        <w:rPr>
          <w:szCs w:val="22"/>
        </w:rPr>
        <w:t xml:space="preserve"> </w:t>
      </w:r>
      <w:proofErr w:type="gramStart"/>
      <w:r w:rsidRPr="000B2B38">
        <w:rPr>
          <w:i/>
          <w:szCs w:val="22"/>
        </w:rPr>
        <w:t>Alternative Medicine Review</w:t>
      </w:r>
      <w:r w:rsidRPr="000B2B38">
        <w:rPr>
          <w:szCs w:val="22"/>
        </w:rPr>
        <w:t>.</w:t>
      </w:r>
      <w:proofErr w:type="gramEnd"/>
      <w:r w:rsidRPr="000B2B38">
        <w:rPr>
          <w:szCs w:val="22"/>
        </w:rPr>
        <w:t xml:space="preserve"> Retrieved from </w:t>
      </w:r>
      <w:r w:rsidR="003D1383" w:rsidRPr="000B2B38">
        <w:rPr>
          <w:szCs w:val="22"/>
        </w:rPr>
        <w:t xml:space="preserve">http://finda </w:t>
      </w:r>
      <w:r w:rsidRPr="000B2B38">
        <w:rPr>
          <w:szCs w:val="22"/>
        </w:rPr>
        <w:t>rticles.com/p/articles/mi_m0FDN/is_3_12/ai_n27421818</w:t>
      </w:r>
      <w:r w:rsidR="00A305EB">
        <w:rPr>
          <w:szCs w:val="22"/>
        </w:rPr>
        <w:t xml:space="preserve"> </w:t>
      </w:r>
      <w:r w:rsidRPr="000B2B38">
        <w:rPr>
          <w:szCs w:val="22"/>
        </w:rPr>
        <w:t>/</w:t>
      </w:r>
      <w:proofErr w:type="gramStart"/>
      <w:r w:rsidRPr="000B2B38">
        <w:rPr>
          <w:szCs w:val="22"/>
        </w:rPr>
        <w:t>?tag</w:t>
      </w:r>
      <w:proofErr w:type="gramEnd"/>
      <w:r w:rsidRPr="000B2B38">
        <w:rPr>
          <w:szCs w:val="22"/>
        </w:rPr>
        <w:t>=content;col1</w:t>
      </w:r>
    </w:p>
    <w:p w:rsidR="00B222C9" w:rsidRPr="000B2B38" w:rsidRDefault="00F520C6" w:rsidP="00F928F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562" w:hanging="562"/>
        <w:contextualSpacing/>
        <w:rPr>
          <w:szCs w:val="22"/>
        </w:rPr>
      </w:pPr>
      <w:proofErr w:type="gramStart"/>
      <w:r w:rsidRPr="000B2B38">
        <w:rPr>
          <w:szCs w:val="22"/>
        </w:rPr>
        <w:t xml:space="preserve">Espinoza, S.E., </w:t>
      </w:r>
      <w:r w:rsidR="00396469">
        <w:rPr>
          <w:color w:val="FF0000"/>
          <w:szCs w:val="22"/>
        </w:rPr>
        <w:t xml:space="preserve">&amp; </w:t>
      </w:r>
      <w:r w:rsidRPr="000B2B38">
        <w:rPr>
          <w:szCs w:val="22"/>
        </w:rPr>
        <w:t>Fried, L.P. (2007).</w:t>
      </w:r>
      <w:proofErr w:type="gramEnd"/>
      <w:r w:rsidRPr="000B2B38">
        <w:rPr>
          <w:szCs w:val="22"/>
        </w:rPr>
        <w:t xml:space="preserve"> </w:t>
      </w:r>
      <w:proofErr w:type="gramStart"/>
      <w:r w:rsidRPr="000B2B38">
        <w:rPr>
          <w:szCs w:val="22"/>
        </w:rPr>
        <w:t>Risk factors for frailty in the older adult.</w:t>
      </w:r>
      <w:proofErr w:type="gramEnd"/>
      <w:r w:rsidRPr="000B2B38">
        <w:rPr>
          <w:szCs w:val="22"/>
        </w:rPr>
        <w:t xml:space="preserve"> </w:t>
      </w:r>
      <w:r w:rsidR="00EB1145" w:rsidRPr="000B2B38">
        <w:rPr>
          <w:i/>
          <w:szCs w:val="22"/>
        </w:rPr>
        <w:t xml:space="preserve">Clinical Geriatrics, </w:t>
      </w:r>
      <w:r w:rsidRPr="000B2B38">
        <w:rPr>
          <w:i/>
          <w:szCs w:val="22"/>
        </w:rPr>
        <w:t>15</w:t>
      </w:r>
      <w:r w:rsidRPr="000B2B38">
        <w:rPr>
          <w:szCs w:val="22"/>
        </w:rPr>
        <w:t xml:space="preserve">(6), 37-44. Retrieved from http://www.imsersomayores.csic.es/ </w:t>
      </w:r>
      <w:proofErr w:type="spellStart"/>
      <w:r w:rsidRPr="000B2B38">
        <w:rPr>
          <w:szCs w:val="22"/>
        </w:rPr>
        <w:t>documentos</w:t>
      </w:r>
      <w:proofErr w:type="spellEnd"/>
      <w:r w:rsidRPr="000B2B38">
        <w:rPr>
          <w:szCs w:val="22"/>
        </w:rPr>
        <w:t>/</w:t>
      </w:r>
      <w:proofErr w:type="spellStart"/>
      <w:r w:rsidRPr="000B2B38">
        <w:rPr>
          <w:szCs w:val="22"/>
        </w:rPr>
        <w:t>boletin</w:t>
      </w:r>
      <w:proofErr w:type="spellEnd"/>
      <w:r w:rsidRPr="000B2B38">
        <w:rPr>
          <w:szCs w:val="22"/>
        </w:rPr>
        <w:t>/2007/numero-52/art-07-07-01.pdf</w:t>
      </w:r>
    </w:p>
    <w:p w:rsidR="00B222C9" w:rsidRPr="00965F45" w:rsidRDefault="00965F45" w:rsidP="00965F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562" w:hanging="562"/>
        <w:contextualSpacing/>
        <w:rPr>
          <w:szCs w:val="22"/>
        </w:rPr>
      </w:pPr>
      <w:r w:rsidRPr="000B2B38">
        <w:rPr>
          <w:rFonts w:cs="Verdana"/>
          <w:szCs w:val="22"/>
        </w:rPr>
        <w:lastRenderedPageBreak/>
        <w:t xml:space="preserve">Hogan, D. B., </w:t>
      </w:r>
      <w:proofErr w:type="spellStart"/>
      <w:r w:rsidRPr="000B2B38">
        <w:rPr>
          <w:rFonts w:cs="Verdana"/>
          <w:szCs w:val="22"/>
        </w:rPr>
        <w:t>MacKnight</w:t>
      </w:r>
      <w:proofErr w:type="spellEnd"/>
      <w:r w:rsidRPr="000B2B38">
        <w:rPr>
          <w:rFonts w:cs="Verdana"/>
          <w:szCs w:val="22"/>
        </w:rPr>
        <w:t xml:space="preserve">, C., &amp; Rockwood, K. (2000). </w:t>
      </w:r>
      <w:proofErr w:type="spellStart"/>
      <w:proofErr w:type="gramStart"/>
      <w:r w:rsidRPr="000B2B38">
        <w:rPr>
          <w:rFonts w:cs="Verdana"/>
          <w:szCs w:val="22"/>
        </w:rPr>
        <w:t>Conceptualisation</w:t>
      </w:r>
      <w:proofErr w:type="spellEnd"/>
      <w:r w:rsidRPr="000B2B38">
        <w:rPr>
          <w:rFonts w:cs="Verdana"/>
          <w:szCs w:val="22"/>
        </w:rPr>
        <w:t xml:space="preserve"> and measurement of frailty in elderly people.</w:t>
      </w:r>
      <w:proofErr w:type="gramEnd"/>
      <w:r w:rsidRPr="000B2B38">
        <w:rPr>
          <w:rFonts w:cs="Verdana"/>
          <w:szCs w:val="22"/>
        </w:rPr>
        <w:t xml:space="preserve"> </w:t>
      </w:r>
      <w:r w:rsidRPr="000B2B38">
        <w:rPr>
          <w:rFonts w:cs="Verdana"/>
          <w:i/>
          <w:iCs/>
          <w:szCs w:val="22"/>
        </w:rPr>
        <w:t>Drugs &amp; Aging, 17</w:t>
      </w:r>
      <w:r w:rsidRPr="000B2B38">
        <w:rPr>
          <w:rFonts w:cs="Verdana"/>
          <w:szCs w:val="22"/>
        </w:rPr>
        <w:t>(4), 295-302. Retrieved from http://consultgerirn.org/topics/frailty_and_its_implications_</w:t>
      </w:r>
      <w:r>
        <w:rPr>
          <w:rFonts w:cs="Verdana"/>
          <w:szCs w:val="22"/>
        </w:rPr>
        <w:t xml:space="preserve"> </w:t>
      </w:r>
      <w:proofErr w:type="spellStart"/>
      <w:r w:rsidRPr="00965F45">
        <w:rPr>
          <w:rFonts w:cs="Verdana"/>
          <w:szCs w:val="22"/>
        </w:rPr>
        <w:t>for_care_new</w:t>
      </w:r>
      <w:proofErr w:type="spellEnd"/>
      <w:r w:rsidRPr="00965F45">
        <w:rPr>
          <w:rFonts w:cs="Verdana"/>
          <w:szCs w:val="22"/>
        </w:rPr>
        <w:t>/</w:t>
      </w:r>
      <w:proofErr w:type="spellStart"/>
      <w:r w:rsidRPr="00965F45">
        <w:rPr>
          <w:rFonts w:cs="Verdana"/>
          <w:szCs w:val="22"/>
        </w:rPr>
        <w:t>want_to_know_more</w:t>
      </w:r>
      <w:proofErr w:type="spellEnd"/>
    </w:p>
    <w:p w:rsidR="006B0D73" w:rsidRDefault="006B0D73" w:rsidP="00F928F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ascii="Times New Roman" w:hAnsi="Times New Roman"/>
          <w:szCs w:val="22"/>
        </w:rPr>
      </w:pPr>
    </w:p>
    <w:p w:rsidR="006B0D73" w:rsidRDefault="006B0D73" w:rsidP="00F34AA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szCs w:val="22"/>
        </w:rPr>
      </w:pPr>
    </w:p>
    <w:p w:rsidR="00D7029D" w:rsidRPr="00961B02" w:rsidRDefault="00D7029D" w:rsidP="00A56A03">
      <w:pPr>
        <w:widowControl w:val="0"/>
        <w:autoSpaceDE w:val="0"/>
        <w:autoSpaceDN w:val="0"/>
        <w:adjustRightInd w:val="0"/>
        <w:ind w:left="720" w:hanging="720"/>
        <w:rPr>
          <w:rFonts w:ascii="Times New Roman" w:hAnsi="Times New Roman" w:cs="Georgia"/>
          <w:szCs w:val="48"/>
        </w:rPr>
      </w:pPr>
    </w:p>
    <w:sectPr w:rsidR="00D7029D" w:rsidRPr="00961B02" w:rsidSect="00997314">
      <w:headerReference w:type="even" r:id="rId8"/>
      <w:headerReference w:type="default" r:id="rId9"/>
      <w:headerReference w:type="first" r:id="rId10"/>
      <w:pgSz w:w="12240" w:h="15840"/>
      <w:pgMar w:top="1440" w:right="1800" w:bottom="1440" w:left="1800" w:header="720" w:footer="720" w:gutter="0"/>
      <w:cols w:space="720"/>
      <w:titlePg/>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2-02-28T22:25:00Z" w:initials="M">
    <w:p w:rsidR="00396469" w:rsidRDefault="00396469">
      <w:pPr>
        <w:pStyle w:val="CommentText"/>
      </w:pPr>
      <w:r>
        <w:rPr>
          <w:rStyle w:val="CommentReference"/>
        </w:rPr>
        <w:annotationRef/>
      </w:r>
      <w:r>
        <w:t>Page number</w:t>
      </w:r>
    </w:p>
  </w:comment>
  <w:comment w:id="1" w:author="Mary" w:date="2012-02-28T22:25:00Z" w:initials="M">
    <w:p w:rsidR="00396469" w:rsidRDefault="00396469">
      <w:pPr>
        <w:pStyle w:val="CommentText"/>
      </w:pPr>
      <w:r>
        <w:rPr>
          <w:rStyle w:val="CommentReference"/>
        </w:rPr>
        <w:annotationRef/>
      </w:r>
      <w:r>
        <w:t>Page number</w:t>
      </w:r>
    </w:p>
  </w:comment>
  <w:comment w:id="2" w:author="Mary" w:date="2012-02-28T22:25:00Z" w:initials="M">
    <w:p w:rsidR="00396469" w:rsidRDefault="00396469">
      <w:pPr>
        <w:pStyle w:val="CommentText"/>
      </w:pPr>
      <w:r>
        <w:rPr>
          <w:rStyle w:val="CommentReference"/>
        </w:rPr>
        <w:annotationRef/>
      </w:r>
      <w:r>
        <w:t>Page number</w:t>
      </w:r>
    </w:p>
  </w:comment>
  <w:comment w:id="3" w:author="Mary" w:date="2012-02-28T22:24:00Z" w:initials="M">
    <w:p w:rsidR="00396469" w:rsidRDefault="00396469">
      <w:pPr>
        <w:pStyle w:val="CommentText"/>
      </w:pPr>
      <w:r>
        <w:rPr>
          <w:rStyle w:val="CommentReference"/>
        </w:rPr>
        <w:annotationRef/>
      </w:r>
      <w:r>
        <w:t>Page number with direct quote</w:t>
      </w:r>
    </w:p>
  </w:comment>
  <w:comment w:id="4" w:author="Mary" w:date="2012-02-28T22:24:00Z" w:initials="M">
    <w:p w:rsidR="00396469" w:rsidRDefault="00396469">
      <w:pPr>
        <w:pStyle w:val="CommentText"/>
      </w:pPr>
      <w:r>
        <w:rPr>
          <w:rStyle w:val="CommentReference"/>
        </w:rPr>
        <w:annotationRef/>
      </w:r>
      <w:r>
        <w:t>Page number</w:t>
      </w:r>
    </w:p>
  </w:comment>
  <w:comment w:id="5" w:author="Mary" w:date="2012-02-28T22:28:00Z" w:initials="M">
    <w:p w:rsidR="00396469" w:rsidRDefault="00396469">
      <w:pPr>
        <w:pStyle w:val="CommentText"/>
      </w:pPr>
      <w:r>
        <w:rPr>
          <w:rStyle w:val="CommentReference"/>
        </w:rPr>
        <w:annotationRef/>
      </w:r>
      <w:r>
        <w:t>Pg nu</w:t>
      </w:r>
    </w:p>
  </w:comment>
  <w:comment w:id="6" w:author="Mary" w:date="2012-02-28T22:28:00Z" w:initials="M">
    <w:p w:rsidR="00396469" w:rsidRDefault="00396469">
      <w:pPr>
        <w:pStyle w:val="CommentText"/>
      </w:pPr>
      <w:r>
        <w:rPr>
          <w:rStyle w:val="CommentReference"/>
        </w:rPr>
        <w:annotationRef/>
      </w:r>
      <w:r>
        <w:t>Pg nu</w:t>
      </w:r>
    </w:p>
  </w:comment>
  <w:comment w:id="7" w:author="Mary" w:date="2012-02-28T22:28:00Z" w:initials="M">
    <w:p w:rsidR="00396469" w:rsidRDefault="00396469">
      <w:pPr>
        <w:pStyle w:val="CommentText"/>
      </w:pPr>
      <w:r>
        <w:rPr>
          <w:rStyle w:val="CommentReference"/>
        </w:rPr>
        <w:annotationRef/>
      </w:r>
      <w:r>
        <w:t>Pg nu</w:t>
      </w:r>
    </w:p>
  </w:comment>
  <w:comment w:id="8" w:author="Mary" w:date="2012-02-28T22:29:00Z" w:initials="M">
    <w:p w:rsidR="00396469" w:rsidRDefault="00396469">
      <w:pPr>
        <w:pStyle w:val="CommentText"/>
      </w:pPr>
      <w:r>
        <w:rPr>
          <w:rStyle w:val="CommentReference"/>
        </w:rPr>
        <w:annotationRef/>
      </w:r>
      <w:r>
        <w:t>Pg nu</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7241" w:rsidRDefault="00D27241" w:rsidP="00D27241">
      <w:pPr>
        <w:spacing w:after="0"/>
      </w:pPr>
      <w:r>
        <w:separator/>
      </w:r>
    </w:p>
  </w:endnote>
  <w:endnote w:type="continuationSeparator" w:id="0">
    <w:p w:rsidR="00D27241" w:rsidRDefault="00D27241" w:rsidP="00D27241">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auto"/>
    <w:pitch w:val="variable"/>
    <w:sig w:usb0="00000003" w:usb1="00000000" w:usb2="00000000" w:usb3="00000000" w:csb0="00000001" w:csb1="00000000"/>
  </w:font>
  <w:font w:name="ITCGaramondStd-Bk">
    <w:panose1 w:val="00000000000000000000"/>
    <w:charset w:val="00"/>
    <w:family w:val="roman"/>
    <w:notTrueType/>
    <w:pitch w:val="default"/>
    <w:sig w:usb0="00000003" w:usb1="00000000" w:usb2="00000000" w:usb3="00000000" w:csb0="00000001" w:csb1="00000000"/>
  </w:font>
  <w:font w:name="Helvetica Neue">
    <w:charset w:val="00"/>
    <w:family w:val="auto"/>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7241" w:rsidRDefault="00D27241" w:rsidP="00D27241">
      <w:pPr>
        <w:spacing w:after="0"/>
      </w:pPr>
      <w:r>
        <w:separator/>
      </w:r>
    </w:p>
  </w:footnote>
  <w:footnote w:type="continuationSeparator" w:id="0">
    <w:p w:rsidR="00D27241" w:rsidRDefault="00D27241" w:rsidP="00D27241">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4BEC" w:rsidRDefault="00D27241" w:rsidP="00EC0878">
    <w:pPr>
      <w:pStyle w:val="Header"/>
      <w:framePr w:wrap="around" w:vAnchor="text" w:hAnchor="margin" w:xAlign="right" w:y="1"/>
      <w:rPr>
        <w:rStyle w:val="PageNumber"/>
      </w:rPr>
    </w:pPr>
    <w:r>
      <w:rPr>
        <w:rStyle w:val="PageNumber"/>
      </w:rPr>
      <w:fldChar w:fldCharType="begin"/>
    </w:r>
    <w:r w:rsidR="00F74BEC">
      <w:rPr>
        <w:rStyle w:val="PageNumber"/>
      </w:rPr>
      <w:instrText xml:space="preserve">PAGE  </w:instrText>
    </w:r>
    <w:r>
      <w:rPr>
        <w:rStyle w:val="PageNumber"/>
      </w:rPr>
      <w:fldChar w:fldCharType="end"/>
    </w:r>
  </w:p>
  <w:p w:rsidR="00F74BEC" w:rsidRDefault="00F74BEC" w:rsidP="000A482E">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4BEC" w:rsidRDefault="00D27241" w:rsidP="00EC0878">
    <w:pPr>
      <w:pStyle w:val="Header"/>
      <w:framePr w:wrap="around" w:vAnchor="text" w:hAnchor="margin" w:xAlign="right" w:y="1"/>
      <w:rPr>
        <w:rStyle w:val="PageNumber"/>
      </w:rPr>
    </w:pPr>
    <w:r>
      <w:rPr>
        <w:rStyle w:val="PageNumber"/>
      </w:rPr>
      <w:fldChar w:fldCharType="begin"/>
    </w:r>
    <w:r w:rsidR="00F74BEC">
      <w:rPr>
        <w:rStyle w:val="PageNumber"/>
      </w:rPr>
      <w:instrText xml:space="preserve">PAGE  </w:instrText>
    </w:r>
    <w:r>
      <w:rPr>
        <w:rStyle w:val="PageNumber"/>
      </w:rPr>
      <w:fldChar w:fldCharType="separate"/>
    </w:r>
    <w:r w:rsidR="00396469">
      <w:rPr>
        <w:rStyle w:val="PageNumber"/>
        <w:noProof/>
      </w:rPr>
      <w:t>2</w:t>
    </w:r>
    <w:r>
      <w:rPr>
        <w:rStyle w:val="PageNumber"/>
      </w:rPr>
      <w:fldChar w:fldCharType="end"/>
    </w:r>
  </w:p>
  <w:p w:rsidR="00F74BEC" w:rsidRDefault="00F74BEC" w:rsidP="000A482E">
    <w:pPr>
      <w:pStyle w:val="Header"/>
      <w:ind w:right="360"/>
    </w:pPr>
    <w:r>
      <w:t>CASE STUDY 5</w:t>
    </w:r>
    <w:r>
      <w:tab/>
    </w:r>
    <w:r>
      <w:tab/>
    </w:r>
    <w:r>
      <w:tab/>
    </w:r>
    <w:r>
      <w:tab/>
    </w:r>
    <w:r>
      <w:tab/>
    </w:r>
    <w:r>
      <w:tab/>
    </w:r>
    <w:r>
      <w:tab/>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4BEC" w:rsidRPr="00961B02" w:rsidRDefault="00F74BEC">
    <w:pPr>
      <w:pStyle w:val="Header"/>
      <w:rPr>
        <w:rFonts w:ascii="Times New Roman" w:hAnsi="Times New Roman"/>
      </w:rPr>
    </w:pPr>
    <w:r>
      <w:rPr>
        <w:rFonts w:ascii="Times New Roman" w:hAnsi="Times New Roman"/>
      </w:rPr>
      <w:t>Running head: CASE STUDY 5</w:t>
    </w:r>
    <w:r>
      <w:rPr>
        <w:rFonts w:ascii="Times New Roman" w:hAnsi="Times New Roman"/>
      </w:rPr>
      <w:tab/>
    </w:r>
    <w:r>
      <w:rPr>
        <w:rFonts w:ascii="Times New Roman" w:hAnsi="Times New Roman"/>
      </w:rPr>
      <w:tab/>
    </w:r>
    <w:r>
      <w:rPr>
        <w:rFonts w:ascii="Times New Roman" w:hAnsi="Times New Roman"/>
      </w:rPr>
      <w:tab/>
      <w:t>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E5C45194"/>
    <w:lvl w:ilvl="0" w:tplc="FA96FDCC">
      <w:numFmt w:val="none"/>
      <w:lvlText w:val=""/>
      <w:lvlJc w:val="left"/>
      <w:pPr>
        <w:tabs>
          <w:tab w:val="num" w:pos="360"/>
        </w:tabs>
      </w:pPr>
    </w:lvl>
    <w:lvl w:ilvl="1" w:tplc="397A7E52">
      <w:numFmt w:val="decimal"/>
      <w:lvlText w:val=""/>
      <w:lvlJc w:val="left"/>
    </w:lvl>
    <w:lvl w:ilvl="2" w:tplc="754A3BA4">
      <w:numFmt w:val="decimal"/>
      <w:lvlText w:val=""/>
      <w:lvlJc w:val="left"/>
    </w:lvl>
    <w:lvl w:ilvl="3" w:tplc="9178420E">
      <w:numFmt w:val="decimal"/>
      <w:lvlText w:val=""/>
      <w:lvlJc w:val="left"/>
    </w:lvl>
    <w:lvl w:ilvl="4" w:tplc="87C65FD4">
      <w:numFmt w:val="decimal"/>
      <w:lvlText w:val=""/>
      <w:lvlJc w:val="left"/>
    </w:lvl>
    <w:lvl w:ilvl="5" w:tplc="DAB4AE94">
      <w:numFmt w:val="decimal"/>
      <w:lvlText w:val=""/>
      <w:lvlJc w:val="left"/>
    </w:lvl>
    <w:lvl w:ilvl="6" w:tplc="E54AF2A2">
      <w:numFmt w:val="decimal"/>
      <w:lvlText w:val=""/>
      <w:lvlJc w:val="left"/>
    </w:lvl>
    <w:lvl w:ilvl="7" w:tplc="EBA85534">
      <w:numFmt w:val="decimal"/>
      <w:lvlText w:val=""/>
      <w:lvlJc w:val="left"/>
    </w:lvl>
    <w:lvl w:ilvl="8" w:tplc="0C0EC296">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doNotAutofitConstrainedTables/>
    <w:splitPgBreakAndParaMark/>
    <w:doNotVertAlignCellWithSp/>
    <w:doNotBreakConstrainedForcedTable/>
    <w:useAnsiKerningPairs/>
    <w:cachedColBalance/>
  </w:compat>
  <w:rsids>
    <w:rsidRoot w:val="00997314"/>
    <w:rsid w:val="000A482E"/>
    <w:rsid w:val="000B2B38"/>
    <w:rsid w:val="000F3185"/>
    <w:rsid w:val="00104265"/>
    <w:rsid w:val="00142F08"/>
    <w:rsid w:val="00157DA9"/>
    <w:rsid w:val="001B33D6"/>
    <w:rsid w:val="00205938"/>
    <w:rsid w:val="00217198"/>
    <w:rsid w:val="00266C87"/>
    <w:rsid w:val="00281891"/>
    <w:rsid w:val="00293CED"/>
    <w:rsid w:val="002C1ED0"/>
    <w:rsid w:val="002E788A"/>
    <w:rsid w:val="00360E76"/>
    <w:rsid w:val="00396469"/>
    <w:rsid w:val="003B1D1B"/>
    <w:rsid w:val="003D1383"/>
    <w:rsid w:val="004020EB"/>
    <w:rsid w:val="00414FBD"/>
    <w:rsid w:val="00441818"/>
    <w:rsid w:val="00464725"/>
    <w:rsid w:val="004835CC"/>
    <w:rsid w:val="004B1D1D"/>
    <w:rsid w:val="004C3425"/>
    <w:rsid w:val="004C459C"/>
    <w:rsid w:val="004E41E1"/>
    <w:rsid w:val="00500097"/>
    <w:rsid w:val="00534863"/>
    <w:rsid w:val="00561B21"/>
    <w:rsid w:val="00582B2E"/>
    <w:rsid w:val="005917D5"/>
    <w:rsid w:val="005B0D57"/>
    <w:rsid w:val="005D6001"/>
    <w:rsid w:val="00603F54"/>
    <w:rsid w:val="006A1FF6"/>
    <w:rsid w:val="006A74AE"/>
    <w:rsid w:val="006B0D73"/>
    <w:rsid w:val="0071793C"/>
    <w:rsid w:val="00762515"/>
    <w:rsid w:val="00774B5F"/>
    <w:rsid w:val="007A2DD5"/>
    <w:rsid w:val="007C6842"/>
    <w:rsid w:val="007E48EA"/>
    <w:rsid w:val="00812E86"/>
    <w:rsid w:val="00816E82"/>
    <w:rsid w:val="00835673"/>
    <w:rsid w:val="008F33C5"/>
    <w:rsid w:val="0092095C"/>
    <w:rsid w:val="00961B02"/>
    <w:rsid w:val="00965F45"/>
    <w:rsid w:val="0097120A"/>
    <w:rsid w:val="009869B0"/>
    <w:rsid w:val="00997314"/>
    <w:rsid w:val="009E3A99"/>
    <w:rsid w:val="009E3E34"/>
    <w:rsid w:val="009E6684"/>
    <w:rsid w:val="00A17E1F"/>
    <w:rsid w:val="00A305EB"/>
    <w:rsid w:val="00A56A03"/>
    <w:rsid w:val="00AD0304"/>
    <w:rsid w:val="00AE37B1"/>
    <w:rsid w:val="00AE3B32"/>
    <w:rsid w:val="00B10147"/>
    <w:rsid w:val="00B13E8A"/>
    <w:rsid w:val="00B222C9"/>
    <w:rsid w:val="00B340E0"/>
    <w:rsid w:val="00B37FDC"/>
    <w:rsid w:val="00B76970"/>
    <w:rsid w:val="00BA1B34"/>
    <w:rsid w:val="00BE0EE7"/>
    <w:rsid w:val="00CB71C4"/>
    <w:rsid w:val="00D1469E"/>
    <w:rsid w:val="00D27241"/>
    <w:rsid w:val="00D5683D"/>
    <w:rsid w:val="00D7029D"/>
    <w:rsid w:val="00E10516"/>
    <w:rsid w:val="00E26CA3"/>
    <w:rsid w:val="00E42FDD"/>
    <w:rsid w:val="00E63A9E"/>
    <w:rsid w:val="00E66626"/>
    <w:rsid w:val="00EB1145"/>
    <w:rsid w:val="00EC0878"/>
    <w:rsid w:val="00EE4E02"/>
    <w:rsid w:val="00EF6ACC"/>
    <w:rsid w:val="00F304D8"/>
    <w:rsid w:val="00F34AA7"/>
    <w:rsid w:val="00F420C4"/>
    <w:rsid w:val="00F520C6"/>
    <w:rsid w:val="00F74BEC"/>
    <w:rsid w:val="00F829FF"/>
    <w:rsid w:val="00F928F0"/>
    <w:rsid w:val="00FA697E"/>
    <w:rsid w:val="00FF34C2"/>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style w:type="paragraph" w:default="1" w:styleId="Normal">
    <w:name w:val="Normal"/>
    <w:qFormat/>
    <w:rsid w:val="006E58E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97314"/>
    <w:pPr>
      <w:tabs>
        <w:tab w:val="center" w:pos="4320"/>
        <w:tab w:val="right" w:pos="8640"/>
      </w:tabs>
      <w:spacing w:after="0"/>
    </w:pPr>
  </w:style>
  <w:style w:type="character" w:customStyle="1" w:styleId="HeaderChar">
    <w:name w:val="Header Char"/>
    <w:basedOn w:val="DefaultParagraphFont"/>
    <w:link w:val="Header"/>
    <w:uiPriority w:val="99"/>
    <w:semiHidden/>
    <w:rsid w:val="00997314"/>
  </w:style>
  <w:style w:type="paragraph" w:styleId="Footer">
    <w:name w:val="footer"/>
    <w:basedOn w:val="Normal"/>
    <w:link w:val="FooterChar"/>
    <w:uiPriority w:val="99"/>
    <w:semiHidden/>
    <w:unhideWhenUsed/>
    <w:rsid w:val="00997314"/>
    <w:pPr>
      <w:tabs>
        <w:tab w:val="center" w:pos="4320"/>
        <w:tab w:val="right" w:pos="8640"/>
      </w:tabs>
      <w:spacing w:after="0"/>
    </w:pPr>
  </w:style>
  <w:style w:type="character" w:customStyle="1" w:styleId="FooterChar">
    <w:name w:val="Footer Char"/>
    <w:basedOn w:val="DefaultParagraphFont"/>
    <w:link w:val="Footer"/>
    <w:uiPriority w:val="99"/>
    <w:semiHidden/>
    <w:rsid w:val="00997314"/>
  </w:style>
  <w:style w:type="character" w:styleId="Hyperlink">
    <w:name w:val="Hyperlink"/>
    <w:basedOn w:val="DefaultParagraphFont"/>
    <w:uiPriority w:val="99"/>
    <w:unhideWhenUsed/>
    <w:rsid w:val="00A56A03"/>
    <w:rPr>
      <w:color w:val="0000FF" w:themeColor="hyperlink"/>
      <w:u w:val="single"/>
    </w:rPr>
  </w:style>
  <w:style w:type="character" w:styleId="PageNumber">
    <w:name w:val="page number"/>
    <w:basedOn w:val="DefaultParagraphFont"/>
    <w:uiPriority w:val="99"/>
    <w:semiHidden/>
    <w:unhideWhenUsed/>
    <w:rsid w:val="000A482E"/>
  </w:style>
  <w:style w:type="character" w:styleId="FollowedHyperlink">
    <w:name w:val="FollowedHyperlink"/>
    <w:basedOn w:val="DefaultParagraphFont"/>
    <w:uiPriority w:val="99"/>
    <w:semiHidden/>
    <w:unhideWhenUsed/>
    <w:rsid w:val="00F520C6"/>
    <w:rPr>
      <w:color w:val="800080" w:themeColor="followedHyperlink"/>
      <w:u w:val="single"/>
    </w:rPr>
  </w:style>
  <w:style w:type="character" w:styleId="CommentReference">
    <w:name w:val="annotation reference"/>
    <w:basedOn w:val="DefaultParagraphFont"/>
    <w:rsid w:val="00396469"/>
    <w:rPr>
      <w:sz w:val="16"/>
      <w:szCs w:val="16"/>
    </w:rPr>
  </w:style>
  <w:style w:type="paragraph" w:styleId="CommentText">
    <w:name w:val="annotation text"/>
    <w:basedOn w:val="Normal"/>
    <w:link w:val="CommentTextChar"/>
    <w:rsid w:val="00396469"/>
    <w:rPr>
      <w:sz w:val="20"/>
      <w:szCs w:val="20"/>
    </w:rPr>
  </w:style>
  <w:style w:type="character" w:customStyle="1" w:styleId="CommentTextChar">
    <w:name w:val="Comment Text Char"/>
    <w:basedOn w:val="DefaultParagraphFont"/>
    <w:link w:val="CommentText"/>
    <w:rsid w:val="00396469"/>
    <w:rPr>
      <w:sz w:val="20"/>
      <w:szCs w:val="20"/>
    </w:rPr>
  </w:style>
  <w:style w:type="paragraph" w:styleId="CommentSubject">
    <w:name w:val="annotation subject"/>
    <w:basedOn w:val="CommentText"/>
    <w:next w:val="CommentText"/>
    <w:link w:val="CommentSubjectChar"/>
    <w:rsid w:val="00396469"/>
    <w:rPr>
      <w:b/>
      <w:bCs/>
    </w:rPr>
  </w:style>
  <w:style w:type="character" w:customStyle="1" w:styleId="CommentSubjectChar">
    <w:name w:val="Comment Subject Char"/>
    <w:basedOn w:val="CommentTextChar"/>
    <w:link w:val="CommentSubject"/>
    <w:rsid w:val="00396469"/>
    <w:rPr>
      <w:b/>
      <w:bCs/>
    </w:rPr>
  </w:style>
  <w:style w:type="paragraph" w:styleId="BalloonText">
    <w:name w:val="Balloon Text"/>
    <w:basedOn w:val="Normal"/>
    <w:link w:val="BalloonTextChar"/>
    <w:rsid w:val="00396469"/>
    <w:pPr>
      <w:spacing w:after="0"/>
    </w:pPr>
    <w:rPr>
      <w:rFonts w:ascii="Tahoma" w:hAnsi="Tahoma" w:cs="Tahoma"/>
      <w:sz w:val="16"/>
      <w:szCs w:val="16"/>
    </w:rPr>
  </w:style>
  <w:style w:type="character" w:customStyle="1" w:styleId="BalloonTextChar">
    <w:name w:val="Balloon Text Char"/>
    <w:basedOn w:val="DefaultParagraphFont"/>
    <w:link w:val="BalloonText"/>
    <w:rsid w:val="0039646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1122</Words>
  <Characters>6399</Characters>
  <Application>Microsoft Office Word</Application>
  <DocSecurity>4</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Michigan State University</Company>
  <LinksUpToDate>false</LinksUpToDate>
  <CharactersWithSpaces>7506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Madeline Petcoff</dc:creator>
  <cp:lastModifiedBy>Mary</cp:lastModifiedBy>
  <cp:revision>2</cp:revision>
  <dcterms:created xsi:type="dcterms:W3CDTF">2012-02-29T04:34:00Z</dcterms:created>
  <dcterms:modified xsi:type="dcterms:W3CDTF">2012-02-29T04:34:00Z</dcterms:modified>
</cp:coreProperties>
</file>