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711" w:rsidRDefault="00E41DFD" w:rsidP="00CB5664">
      <w:pPr>
        <w:tabs>
          <w:tab w:val="left" w:pos="1440"/>
          <w:tab w:val="left" w:pos="2775"/>
        </w:tabs>
        <w:spacing w:line="480" w:lineRule="auto"/>
        <w:jc w:val="center"/>
        <w:outlineLvl w:val="0"/>
      </w:pPr>
      <w:r>
        <w:rPr>
          <w:rStyle w:val="CommentReference"/>
        </w:rPr>
        <w:commentReference w:id="0"/>
      </w:r>
    </w:p>
    <w:p w:rsidR="00780711" w:rsidRDefault="00780711" w:rsidP="00CB5664">
      <w:pPr>
        <w:tabs>
          <w:tab w:val="left" w:pos="1440"/>
          <w:tab w:val="left" w:pos="2775"/>
        </w:tabs>
        <w:spacing w:line="480" w:lineRule="auto"/>
        <w:jc w:val="center"/>
        <w:outlineLvl w:val="0"/>
      </w:pPr>
    </w:p>
    <w:p w:rsidR="00780711" w:rsidRDefault="00780711" w:rsidP="00CB5664">
      <w:pPr>
        <w:tabs>
          <w:tab w:val="left" w:pos="1440"/>
          <w:tab w:val="left" w:pos="2775"/>
        </w:tabs>
        <w:spacing w:line="480" w:lineRule="auto"/>
        <w:jc w:val="center"/>
        <w:outlineLvl w:val="0"/>
      </w:pPr>
    </w:p>
    <w:p w:rsidR="00780711" w:rsidRPr="00E41DFD" w:rsidRDefault="00E41DFD" w:rsidP="00CB5664">
      <w:pPr>
        <w:tabs>
          <w:tab w:val="left" w:pos="1440"/>
          <w:tab w:val="left" w:pos="2775"/>
        </w:tabs>
        <w:spacing w:line="480" w:lineRule="auto"/>
        <w:jc w:val="center"/>
        <w:outlineLvl w:val="0"/>
        <w:rPr>
          <w:color w:val="FF0000"/>
        </w:rPr>
      </w:pPr>
      <w:proofErr w:type="gramStart"/>
      <w:r w:rsidRPr="00E41DFD">
        <w:rPr>
          <w:color w:val="FF0000"/>
        </w:rPr>
        <w:t>Pretty good.</w:t>
      </w:r>
      <w:proofErr w:type="gramEnd"/>
      <w:r w:rsidRPr="00E41DFD">
        <w:rPr>
          <w:color w:val="FF0000"/>
        </w:rPr>
        <w:t xml:space="preserve"> 14.5/15</w:t>
      </w:r>
    </w:p>
    <w:p w:rsidR="00780711" w:rsidRDefault="00780711" w:rsidP="00CB5664">
      <w:pPr>
        <w:tabs>
          <w:tab w:val="left" w:pos="1440"/>
          <w:tab w:val="left" w:pos="2775"/>
        </w:tabs>
        <w:spacing w:line="480" w:lineRule="auto"/>
        <w:jc w:val="center"/>
        <w:outlineLvl w:val="0"/>
      </w:pPr>
    </w:p>
    <w:p w:rsidR="00780711" w:rsidRDefault="00780711" w:rsidP="00CB5664">
      <w:pPr>
        <w:tabs>
          <w:tab w:val="left" w:pos="1440"/>
          <w:tab w:val="left" w:pos="2775"/>
        </w:tabs>
        <w:spacing w:line="480" w:lineRule="auto"/>
        <w:jc w:val="center"/>
        <w:outlineLvl w:val="0"/>
      </w:pPr>
    </w:p>
    <w:p w:rsidR="00780711" w:rsidRDefault="00780711" w:rsidP="00CB5664">
      <w:pPr>
        <w:tabs>
          <w:tab w:val="left" w:pos="1440"/>
          <w:tab w:val="left" w:pos="2775"/>
        </w:tabs>
        <w:spacing w:line="480" w:lineRule="auto"/>
        <w:jc w:val="center"/>
        <w:outlineLvl w:val="0"/>
      </w:pPr>
    </w:p>
    <w:p w:rsidR="00780711" w:rsidRDefault="00780711" w:rsidP="00CB5664">
      <w:pPr>
        <w:tabs>
          <w:tab w:val="left" w:pos="1440"/>
          <w:tab w:val="left" w:pos="2775"/>
        </w:tabs>
        <w:spacing w:line="480" w:lineRule="auto"/>
        <w:jc w:val="center"/>
        <w:outlineLvl w:val="0"/>
      </w:pPr>
    </w:p>
    <w:p w:rsidR="00780711" w:rsidRPr="00EB2C60" w:rsidRDefault="00780711" w:rsidP="00CB5664">
      <w:pPr>
        <w:tabs>
          <w:tab w:val="left" w:pos="1440"/>
          <w:tab w:val="left" w:pos="2775"/>
        </w:tabs>
        <w:spacing w:line="480" w:lineRule="auto"/>
        <w:jc w:val="center"/>
        <w:outlineLvl w:val="0"/>
      </w:pPr>
      <w:r w:rsidRPr="00EB2C60">
        <w:t>Case Study 5.2 Frailty</w:t>
      </w:r>
    </w:p>
    <w:p w:rsidR="00780711" w:rsidRPr="00EB2C60" w:rsidRDefault="00780711" w:rsidP="00CB5664">
      <w:pPr>
        <w:tabs>
          <w:tab w:val="left" w:pos="1440"/>
          <w:tab w:val="left" w:pos="2775"/>
        </w:tabs>
        <w:spacing w:line="480" w:lineRule="auto"/>
        <w:jc w:val="center"/>
      </w:pPr>
      <w:r w:rsidRPr="00EB2C60">
        <w:t>Madhavi Chaudhary</w:t>
      </w:r>
    </w:p>
    <w:p w:rsidR="00780711" w:rsidRPr="00EB2C60" w:rsidRDefault="00780711" w:rsidP="00CB5664">
      <w:pPr>
        <w:tabs>
          <w:tab w:val="left" w:pos="1440"/>
          <w:tab w:val="left" w:pos="2775"/>
        </w:tabs>
        <w:spacing w:line="480" w:lineRule="auto"/>
        <w:jc w:val="center"/>
        <w:outlineLvl w:val="0"/>
      </w:pPr>
      <w:r w:rsidRPr="00EB2C60">
        <w:t>Lakeview College of Nursing</w:t>
      </w:r>
    </w:p>
    <w:p w:rsidR="00780711" w:rsidRPr="00EB2C60" w:rsidRDefault="00780711" w:rsidP="00CB5664">
      <w:pPr>
        <w:tabs>
          <w:tab w:val="left" w:pos="1440"/>
          <w:tab w:val="left" w:pos="2775"/>
        </w:tabs>
        <w:spacing w:line="480" w:lineRule="auto"/>
        <w:jc w:val="center"/>
        <w:outlineLvl w:val="0"/>
      </w:pPr>
      <w:r w:rsidRPr="00EB2C60">
        <w:t>Nursing of Gerentological Client</w:t>
      </w:r>
    </w:p>
    <w:p w:rsidR="00780711" w:rsidRPr="00EB2C60" w:rsidRDefault="00780711" w:rsidP="00CB5664">
      <w:pPr>
        <w:tabs>
          <w:tab w:val="left" w:pos="1440"/>
          <w:tab w:val="left" w:pos="2775"/>
        </w:tabs>
        <w:spacing w:line="480" w:lineRule="auto"/>
        <w:jc w:val="center"/>
        <w:outlineLvl w:val="0"/>
      </w:pPr>
      <w:r w:rsidRPr="00EB2C60">
        <w:t>February 17, 2012</w:t>
      </w: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780711" w:rsidRPr="00EB2C60" w:rsidRDefault="00780711" w:rsidP="00CB5664">
      <w:pPr>
        <w:spacing w:line="480" w:lineRule="auto"/>
      </w:pPr>
    </w:p>
    <w:p w:rsidR="003533A9" w:rsidRPr="00EB2C60" w:rsidRDefault="003533A9" w:rsidP="00CB5664">
      <w:pPr>
        <w:pStyle w:val="ListParagraph"/>
        <w:numPr>
          <w:ilvl w:val="0"/>
          <w:numId w:val="2"/>
        </w:numPr>
        <w:spacing w:line="480" w:lineRule="auto"/>
      </w:pPr>
      <w:r w:rsidRPr="00EB2C60">
        <w:lastRenderedPageBreak/>
        <w:t xml:space="preserve">“Frailty is the manifestation of changes in the physiological state of a person and the inability to maintain homeostasis. </w:t>
      </w:r>
      <w:r w:rsidR="00237EB0" w:rsidRPr="00EB2C60">
        <w:rPr>
          <w:rFonts w:eastAsiaTheme="minorHAnsi"/>
        </w:rPr>
        <w:t xml:space="preserve">Frailty is defined as </w:t>
      </w:r>
      <w:r w:rsidRPr="00EB2C60">
        <w:rPr>
          <w:rFonts w:eastAsiaTheme="minorHAnsi"/>
        </w:rPr>
        <w:t>a state of high vulnerability for adverse health outcomes, including disability, dependency, falls, need for long-term care, and mor</w:t>
      </w:r>
      <w:r w:rsidR="00237EB0" w:rsidRPr="00EB2C60">
        <w:rPr>
          <w:rFonts w:eastAsiaTheme="minorHAnsi"/>
        </w:rPr>
        <w:t xml:space="preserve">tality. </w:t>
      </w:r>
      <w:r w:rsidRPr="00EB2C60">
        <w:rPr>
          <w:rFonts w:eastAsiaTheme="minorHAnsi"/>
        </w:rPr>
        <w:t>Frailty includes both physical and functional decline and is commonly used to describe older persons at increased risk for morbidity and mortality. Frailty typically involves alteration in multiple, not individual, body systems. Frailty is a syndrome associated with reduced functional reserve, impairment in multiple physiological systems, and reduced ability to regain physiological homeostasis.</w:t>
      </w:r>
      <w:r w:rsidRPr="00EB2C60">
        <w:t xml:space="preserve"> Comorbidity refers to the occurrence of two or more distinguishably different disease processes in a person. Disability relates to the inability to carry out activities of daily living. Disability can arise from dysfunction of a single system or from many systems, but frailty always implies multisystem dysfunction. Disability need not be associated with instability, whereas frailty necessarily is” (</w:t>
      </w:r>
      <w:proofErr w:type="spellStart"/>
      <w:r w:rsidR="00EB2C60" w:rsidRPr="00EB2C60">
        <w:t>Benefield</w:t>
      </w:r>
      <w:proofErr w:type="spellEnd"/>
      <w:r w:rsidR="00EB2C60" w:rsidRPr="00EB2C60">
        <w:t xml:space="preserve"> &amp; </w:t>
      </w:r>
      <w:proofErr w:type="spellStart"/>
      <w:r w:rsidR="00EB2C60" w:rsidRPr="00EB2C60">
        <w:t>Higbee</w:t>
      </w:r>
      <w:proofErr w:type="spellEnd"/>
      <w:r w:rsidR="00EB2C60" w:rsidRPr="00EB2C60">
        <w:t xml:space="preserve">, </w:t>
      </w:r>
      <w:commentRangeStart w:id="1"/>
      <w:r w:rsidR="00EB2C60" w:rsidRPr="00EB2C60">
        <w:t>2007</w:t>
      </w:r>
      <w:commentRangeEnd w:id="1"/>
      <w:r w:rsidR="00E41DFD">
        <w:rPr>
          <w:rStyle w:val="CommentReference"/>
        </w:rPr>
        <w:commentReference w:id="1"/>
      </w:r>
      <w:r w:rsidRPr="00EB2C60">
        <w:t>)</w:t>
      </w:r>
      <w:r w:rsidR="00EB2C60">
        <w:t>.</w:t>
      </w:r>
    </w:p>
    <w:p w:rsidR="009F4103" w:rsidRDefault="009F4103" w:rsidP="00CB5664">
      <w:pPr>
        <w:pStyle w:val="ListParagraph"/>
        <w:numPr>
          <w:ilvl w:val="0"/>
          <w:numId w:val="2"/>
        </w:numPr>
        <w:spacing w:line="480" w:lineRule="auto"/>
      </w:pPr>
      <w:r>
        <w:t xml:space="preserve">Syndrome is a group of symptoms that exist together and represent a specific disease. “Frailty is a syndrome associated with reduced functional reserve, impairment in multiple physiological systems, and reduced ability to regain physiological homeostasis” </w:t>
      </w:r>
      <w:r w:rsidRPr="00EB2C60">
        <w:t>(</w:t>
      </w:r>
      <w:proofErr w:type="spellStart"/>
      <w:r w:rsidR="00EB2C60">
        <w:t>Benefield</w:t>
      </w:r>
      <w:proofErr w:type="spellEnd"/>
      <w:r w:rsidR="00EB2C60">
        <w:t xml:space="preserve"> &amp; </w:t>
      </w:r>
      <w:proofErr w:type="spellStart"/>
      <w:r w:rsidR="00EB2C60">
        <w:t>Higbee</w:t>
      </w:r>
      <w:proofErr w:type="spellEnd"/>
      <w:r w:rsidR="00EB2C60">
        <w:t xml:space="preserve">, </w:t>
      </w:r>
      <w:commentRangeStart w:id="2"/>
      <w:r w:rsidR="00EB2C60">
        <w:t>2007</w:t>
      </w:r>
      <w:commentRangeEnd w:id="2"/>
      <w:r w:rsidR="00E41DFD">
        <w:rPr>
          <w:rStyle w:val="CommentReference"/>
        </w:rPr>
        <w:commentReference w:id="2"/>
      </w:r>
      <w:r w:rsidRPr="00EB2C60">
        <w:t>).</w:t>
      </w:r>
      <w:r>
        <w:t xml:space="preserve"> As one can see from the definition, there are multiple signs and symptoms that occur all together and thus called a syndrome. </w:t>
      </w:r>
    </w:p>
    <w:p w:rsidR="009547B7" w:rsidRDefault="009F4103" w:rsidP="00CB5664">
      <w:pPr>
        <w:pStyle w:val="ListParagraph"/>
        <w:numPr>
          <w:ilvl w:val="0"/>
          <w:numId w:val="2"/>
        </w:numPr>
        <w:spacing w:line="480" w:lineRule="auto"/>
      </w:pPr>
      <w:r>
        <w:t>Mrs. Gibson has all five components, shrinking, exhaustion, strength loss, slowness, low physica</w:t>
      </w:r>
      <w:r w:rsidR="009547B7">
        <w:t>l activity, and so her score is 5. She would be defined as frail according to the scale because she has more than 3 components that identify her state. (</w:t>
      </w:r>
      <w:proofErr w:type="spellStart"/>
      <w:r w:rsidR="009547B7" w:rsidRPr="00EB2C60">
        <w:t>Benefield</w:t>
      </w:r>
      <w:proofErr w:type="spellEnd"/>
      <w:r w:rsidR="00EB2C60">
        <w:t xml:space="preserve"> &amp; </w:t>
      </w:r>
      <w:proofErr w:type="spellStart"/>
      <w:r w:rsidR="00EB2C60">
        <w:t>Higbee</w:t>
      </w:r>
      <w:proofErr w:type="spellEnd"/>
      <w:r w:rsidR="00EB2C60">
        <w:t>, 2007</w:t>
      </w:r>
      <w:r w:rsidR="009547B7">
        <w:t>).</w:t>
      </w:r>
    </w:p>
    <w:p w:rsidR="00E41DFD" w:rsidRPr="00E41DFD" w:rsidRDefault="00E41DFD" w:rsidP="00E41DFD">
      <w:pPr>
        <w:autoSpaceDE w:val="0"/>
        <w:autoSpaceDN w:val="0"/>
        <w:adjustRightInd w:val="0"/>
        <w:rPr>
          <w:color w:val="FF0000"/>
        </w:rPr>
      </w:pPr>
      <w:r w:rsidRPr="00E41DFD">
        <w:rPr>
          <w:color w:val="FF0000"/>
        </w:rPr>
        <w:t xml:space="preserve"> </w:t>
      </w:r>
      <w:r w:rsidRPr="00E41DFD">
        <w:rPr>
          <w:rFonts w:ascii="ITCGaramondStd-Bk" w:eastAsiaTheme="minorHAnsi"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9547B7" w:rsidRDefault="009547B7" w:rsidP="00CB5664">
      <w:pPr>
        <w:pStyle w:val="ListParagraph"/>
        <w:numPr>
          <w:ilvl w:val="0"/>
          <w:numId w:val="2"/>
        </w:numPr>
        <w:spacing w:line="480" w:lineRule="auto"/>
      </w:pPr>
      <w:r>
        <w:lastRenderedPageBreak/>
        <w:t xml:space="preserve">“Primary frailty has no underlying, pathological causative factors, whereas secondary frailty originates from underlying, pathological causative </w:t>
      </w:r>
      <w:r w:rsidR="00A1789C">
        <w:t>factors” (</w:t>
      </w:r>
      <w:proofErr w:type="spellStart"/>
      <w:r w:rsidR="00A1789C">
        <w:t>Benefield</w:t>
      </w:r>
      <w:proofErr w:type="spellEnd"/>
      <w:r w:rsidR="00A1789C">
        <w:t xml:space="preserve"> &amp; </w:t>
      </w:r>
      <w:proofErr w:type="spellStart"/>
      <w:r w:rsidR="00A1789C">
        <w:t>Higbee</w:t>
      </w:r>
      <w:proofErr w:type="spellEnd"/>
      <w:r w:rsidR="00A1789C">
        <w:t xml:space="preserve">, </w:t>
      </w:r>
      <w:commentRangeStart w:id="3"/>
      <w:r w:rsidR="00A1789C">
        <w:t>2007</w:t>
      </w:r>
      <w:commentRangeEnd w:id="3"/>
      <w:r w:rsidR="00E41DFD">
        <w:rPr>
          <w:rStyle w:val="CommentReference"/>
        </w:rPr>
        <w:commentReference w:id="3"/>
      </w:r>
      <w:r w:rsidR="00A1789C">
        <w:t>).</w:t>
      </w:r>
    </w:p>
    <w:p w:rsidR="00127928" w:rsidRDefault="00A1789C" w:rsidP="00CB5664">
      <w:pPr>
        <w:pStyle w:val="ListParagraph"/>
        <w:numPr>
          <w:ilvl w:val="0"/>
          <w:numId w:val="2"/>
        </w:numPr>
        <w:spacing w:line="480" w:lineRule="auto"/>
      </w:pPr>
      <w:r>
        <w:t>The six physiologic based risk factors for frailty are “a</w:t>
      </w:r>
      <w:r w:rsidR="00CB5664">
        <w:t>ctivated</w:t>
      </w:r>
      <w:r w:rsidR="009547B7">
        <w:t xml:space="preserve"> inflammat</w:t>
      </w:r>
      <w:r>
        <w:t>ion, immune system dysfunction, a</w:t>
      </w:r>
      <w:r w:rsidR="009547B7">
        <w:t>nemia, endocrine system alteration, u</w:t>
      </w:r>
      <w:r w:rsidR="00127928">
        <w:t>nderweight or over weight, age” (</w:t>
      </w:r>
      <w:r w:rsidRPr="00A1789C">
        <w:t xml:space="preserve">Espinoza &amp; Fried, </w:t>
      </w:r>
      <w:commentRangeStart w:id="4"/>
      <w:r w:rsidRPr="00A1789C">
        <w:t>2007</w:t>
      </w:r>
      <w:commentRangeEnd w:id="4"/>
      <w:r w:rsidR="00E41DFD">
        <w:rPr>
          <w:rStyle w:val="CommentReference"/>
        </w:rPr>
        <w:commentReference w:id="4"/>
      </w:r>
      <w:r w:rsidRPr="00A1789C">
        <w:t>)</w:t>
      </w:r>
      <w:r w:rsidR="00900948">
        <w:t xml:space="preserve">. </w:t>
      </w:r>
    </w:p>
    <w:p w:rsidR="005C2A9B" w:rsidRDefault="00127928" w:rsidP="00CB5664">
      <w:pPr>
        <w:pStyle w:val="ListParagraph"/>
        <w:numPr>
          <w:ilvl w:val="0"/>
          <w:numId w:val="2"/>
        </w:numPr>
        <w:spacing w:line="480" w:lineRule="auto"/>
      </w:pPr>
      <w:r>
        <w:t xml:space="preserve">The sociodemographic and </w:t>
      </w:r>
      <w:r w:rsidR="005C2A9B">
        <w:t>psychological</w:t>
      </w:r>
      <w:r w:rsidR="00900948">
        <w:t xml:space="preserve"> risk factors are </w:t>
      </w:r>
      <w:r w:rsidR="005D62F5">
        <w:t>“</w:t>
      </w:r>
      <w:r>
        <w:t>female gender, low socioeconomic status, ra</w:t>
      </w:r>
      <w:r w:rsidR="00900948">
        <w:t>ce/ethnicity, and depression” (</w:t>
      </w:r>
      <w:r w:rsidR="00900948" w:rsidRPr="00A1789C">
        <w:t xml:space="preserve">Espinoza &amp; Fried, </w:t>
      </w:r>
      <w:commentRangeStart w:id="5"/>
      <w:r w:rsidR="00900948" w:rsidRPr="00A1789C">
        <w:t>2007</w:t>
      </w:r>
      <w:commentRangeEnd w:id="5"/>
      <w:r w:rsidR="00E41DFD">
        <w:rPr>
          <w:rStyle w:val="CommentReference"/>
        </w:rPr>
        <w:commentReference w:id="5"/>
      </w:r>
      <w:r w:rsidR="00900948" w:rsidRPr="00A1789C">
        <w:t>)</w:t>
      </w:r>
      <w:r w:rsidR="00900948">
        <w:t xml:space="preserve">. </w:t>
      </w:r>
      <w:r w:rsidR="005C2A9B">
        <w:t>Inclusion of female gender “may be related to sarcopenia, with women having less muscle mass than age-matched men, which may confer an intrinsic risk fo</w:t>
      </w:r>
      <w:r w:rsidR="006D24B4">
        <w:t xml:space="preserve">r the development of frailty. </w:t>
      </w:r>
      <w:r w:rsidR="005C2A9B">
        <w:t>It is likely that high SES does not intrinsically confer less risk of frailty, but that this relationship between SES and frailty is modified by lifestyle factors that are likely to co-exist with low SES”</w:t>
      </w:r>
      <w:r w:rsidR="005D62F5">
        <w:t xml:space="preserve"> </w:t>
      </w:r>
      <w:r w:rsidR="005C2A9B">
        <w:t>(</w:t>
      </w:r>
      <w:r w:rsidR="006D24B4">
        <w:t xml:space="preserve">Espinoza &amp; Fried, </w:t>
      </w:r>
      <w:commentRangeStart w:id="6"/>
      <w:r w:rsidR="006D24B4">
        <w:t>2007</w:t>
      </w:r>
      <w:commentRangeEnd w:id="6"/>
      <w:r w:rsidR="00E41DFD">
        <w:rPr>
          <w:rStyle w:val="CommentReference"/>
        </w:rPr>
        <w:commentReference w:id="6"/>
      </w:r>
      <w:r w:rsidR="005C2A9B">
        <w:t xml:space="preserve">). </w:t>
      </w:r>
    </w:p>
    <w:p w:rsidR="005C2A9B" w:rsidRDefault="005C2A9B" w:rsidP="00CB5664">
      <w:pPr>
        <w:pStyle w:val="ListParagraph"/>
        <w:numPr>
          <w:ilvl w:val="0"/>
          <w:numId w:val="2"/>
        </w:numPr>
        <w:spacing w:line="480" w:lineRule="auto"/>
      </w:pPr>
      <w:r>
        <w:t>The factors that can’t be modified are race/ethnicity and socioe</w:t>
      </w:r>
      <w:r w:rsidR="00BD68EB">
        <w:t>conomic status (</w:t>
      </w:r>
      <w:r w:rsidR="00BD68EB" w:rsidRPr="00A1789C">
        <w:t>Espinoza &amp; Fried, 2007)</w:t>
      </w:r>
      <w:r w:rsidR="00BD68EB">
        <w:t xml:space="preserve">. </w:t>
      </w:r>
    </w:p>
    <w:p w:rsidR="00E41DFD" w:rsidRPr="00E41DFD" w:rsidRDefault="00E41DFD" w:rsidP="00E41DFD">
      <w:pPr>
        <w:pStyle w:val="ListParagraph"/>
        <w:spacing w:line="480" w:lineRule="auto"/>
        <w:rPr>
          <w:color w:val="FF0000"/>
        </w:rPr>
      </w:pPr>
      <w:r>
        <w:t xml:space="preserve"> </w:t>
      </w:r>
      <w:r w:rsidRPr="00E41DFD">
        <w:rPr>
          <w:rFonts w:ascii="ITCGaramondStd-Bk" w:eastAsiaTheme="minorHAnsi" w:hAnsi="ITCGaramondStd-Bk" w:cs="ITCGaramondStd-Bk"/>
          <w:color w:val="FF0000"/>
          <w:sz w:val="20"/>
          <w:szCs w:val="20"/>
        </w:rPr>
        <w:t>Gender, race, age, and socioeconomic status</w:t>
      </w:r>
    </w:p>
    <w:p w:rsidR="003D47F0" w:rsidRDefault="00BD68EB" w:rsidP="00CB5664">
      <w:pPr>
        <w:pStyle w:val="ListParagraph"/>
        <w:numPr>
          <w:ilvl w:val="0"/>
          <w:numId w:val="2"/>
        </w:numPr>
        <w:spacing w:line="480" w:lineRule="auto"/>
      </w:pPr>
      <w:r>
        <w:t>Nutritional su</w:t>
      </w:r>
      <w:r w:rsidR="003D47F0">
        <w:t xml:space="preserve">pplements as an alternative medicine intervention for frailty includes carotenoids, vitamin D, </w:t>
      </w:r>
      <w:r w:rsidR="00E251F5">
        <w:t xml:space="preserve">and </w:t>
      </w:r>
      <w:r w:rsidR="003D47F0">
        <w:t xml:space="preserve">dehydroepiandrosterone (DHEA). </w:t>
      </w:r>
      <w:r w:rsidR="00E251F5">
        <w:t xml:space="preserve">Low vitamin D levels have been related to frailty syndrome in, both, men and women </w:t>
      </w:r>
      <w:r w:rsidR="008F5D08">
        <w:t>(Shardell et al., 2007).</w:t>
      </w:r>
    </w:p>
    <w:p w:rsidR="00E41DFD" w:rsidRPr="00E41DFD" w:rsidRDefault="00E41DFD" w:rsidP="00E41DFD">
      <w:pPr>
        <w:pStyle w:val="ListParagraph"/>
        <w:spacing w:line="480" w:lineRule="auto"/>
        <w:rPr>
          <w:color w:val="FF0000"/>
        </w:rPr>
      </w:pPr>
      <w:r>
        <w:t xml:space="preserve"> </w:t>
      </w:r>
      <w:proofErr w:type="gramStart"/>
      <w:r w:rsidRPr="00E41DFD">
        <w:rPr>
          <w:rFonts w:ascii="ITCGaramondStd-Bk" w:eastAsiaTheme="minorHAnsi" w:hAnsi="ITCGaramondStd-Bk" w:cs="ITCGaramondStd-Bk"/>
          <w:color w:val="FF0000"/>
          <w:sz w:val="20"/>
          <w:szCs w:val="20"/>
        </w:rPr>
        <w:t>A, B, D, and E.</w:t>
      </w:r>
      <w:proofErr w:type="gramEnd"/>
    </w:p>
    <w:p w:rsidR="00CB5664" w:rsidRDefault="006F04FD" w:rsidP="00CB5664">
      <w:pPr>
        <w:pStyle w:val="ListParagraph"/>
        <w:numPr>
          <w:ilvl w:val="0"/>
          <w:numId w:val="2"/>
        </w:numPr>
        <w:spacing w:line="480" w:lineRule="auto"/>
      </w:pPr>
      <w:r>
        <w:t>“Tai chi might directly or indirectly address three components of FS--weakness, slow walking speed, and low physical activity. By improving strength and balance, it provides potential benefit for those with reduced ambulatory capacity or a tendency to fall” (</w:t>
      </w:r>
      <w:r w:rsidR="0009532B">
        <w:t xml:space="preserve">Cheniak, </w:t>
      </w:r>
      <w:proofErr w:type="spellStart"/>
      <w:r w:rsidR="0009532B">
        <w:t>Forez</w:t>
      </w:r>
      <w:proofErr w:type="spellEnd"/>
      <w:r w:rsidR="0009532B">
        <w:t xml:space="preserve">, &amp; </w:t>
      </w:r>
      <w:proofErr w:type="spellStart"/>
      <w:r w:rsidR="0009532B">
        <w:t>Troen</w:t>
      </w:r>
      <w:proofErr w:type="spellEnd"/>
      <w:r w:rsidR="0009532B">
        <w:t xml:space="preserve">, </w:t>
      </w:r>
      <w:commentRangeStart w:id="7"/>
      <w:r w:rsidR="0009532B">
        <w:t>2007</w:t>
      </w:r>
      <w:commentRangeEnd w:id="7"/>
      <w:r w:rsidR="00E41DFD">
        <w:rPr>
          <w:rStyle w:val="CommentReference"/>
        </w:rPr>
        <w:commentReference w:id="7"/>
      </w:r>
      <w:r>
        <w:t xml:space="preserve">). This is an exercise that can be done for different </w:t>
      </w:r>
      <w:r>
        <w:lastRenderedPageBreak/>
        <w:t xml:space="preserve">periods of time depending on the health and physical status of a person, which allows people with a variety of problems to benefit from it. </w:t>
      </w:r>
    </w:p>
    <w:p w:rsidR="00780711" w:rsidRPr="00CB5664" w:rsidRDefault="00CB5664" w:rsidP="00CB5664">
      <w:pPr>
        <w:pStyle w:val="ListParagraph"/>
        <w:numPr>
          <w:ilvl w:val="0"/>
          <w:numId w:val="2"/>
        </w:numPr>
        <w:spacing w:line="480" w:lineRule="auto"/>
      </w:pPr>
      <w:r>
        <w:rPr>
          <w:rFonts w:eastAsiaTheme="minorHAnsi"/>
        </w:rPr>
        <w:t>“</w:t>
      </w:r>
      <w:r w:rsidRPr="00CB5664">
        <w:rPr>
          <w:rFonts w:eastAsiaTheme="minorHAnsi"/>
        </w:rPr>
        <w:t>Implement strategies to de</w:t>
      </w:r>
      <w:r>
        <w:rPr>
          <w:rFonts w:eastAsiaTheme="minorHAnsi"/>
        </w:rPr>
        <w:t xml:space="preserve">crease fall risk. </w:t>
      </w:r>
      <w:r w:rsidRPr="00CB5664">
        <w:rPr>
          <w:rFonts w:eastAsiaTheme="minorHAnsi"/>
        </w:rPr>
        <w:t>Modify the living environment to enhance opportunities for independence and self-reliance. These interventions include grab bars, walk in showers with shower seats, counter and cabinet height adjustments, wide doorways, contrasting colors of counters, floors, walls, and dishes, non-slip surfaces, ramps, proper lighting, and emergency call s</w:t>
      </w:r>
      <w:r>
        <w:rPr>
          <w:rFonts w:eastAsiaTheme="minorHAnsi"/>
        </w:rPr>
        <w:t xml:space="preserve">ystems” </w:t>
      </w:r>
      <w:r w:rsidR="0009532B">
        <w:t>(</w:t>
      </w:r>
      <w:r w:rsidR="0009532B" w:rsidRPr="00A1789C">
        <w:t xml:space="preserve">Espinoza &amp; Fried, </w:t>
      </w:r>
      <w:commentRangeStart w:id="8"/>
      <w:r w:rsidR="0009532B" w:rsidRPr="00A1789C">
        <w:t>2007</w:t>
      </w:r>
      <w:commentRangeEnd w:id="8"/>
      <w:r w:rsidR="00E41DFD">
        <w:rPr>
          <w:rStyle w:val="CommentReference"/>
        </w:rPr>
        <w:commentReference w:id="8"/>
      </w:r>
      <w:r w:rsidR="0009532B" w:rsidRPr="00A1789C">
        <w:t>)</w:t>
      </w:r>
      <w:r w:rsidR="0009532B">
        <w:t xml:space="preserve">. </w:t>
      </w:r>
    </w:p>
    <w:p w:rsidR="00780711" w:rsidRDefault="00780711" w:rsidP="00CB5664">
      <w:pPr>
        <w:spacing w:line="480" w:lineRule="auto"/>
        <w:jc w:val="right"/>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780711" w:rsidRDefault="00780711" w:rsidP="00CB5664">
      <w:pPr>
        <w:spacing w:line="480" w:lineRule="auto"/>
      </w:pPr>
    </w:p>
    <w:p w:rsidR="00CB5664" w:rsidRDefault="00CB5664" w:rsidP="00CB5664">
      <w:pPr>
        <w:spacing w:line="480" w:lineRule="auto"/>
      </w:pPr>
    </w:p>
    <w:p w:rsidR="00CB5664" w:rsidRDefault="00CB5664" w:rsidP="00CB5664">
      <w:pPr>
        <w:spacing w:line="480" w:lineRule="auto"/>
      </w:pPr>
    </w:p>
    <w:p w:rsidR="00780711" w:rsidRDefault="00780711" w:rsidP="00CB5664">
      <w:pPr>
        <w:spacing w:line="480" w:lineRule="auto"/>
      </w:pPr>
    </w:p>
    <w:p w:rsidR="00780711" w:rsidRDefault="00780711" w:rsidP="00CB5664">
      <w:pPr>
        <w:widowControl w:val="0"/>
        <w:autoSpaceDE w:val="0"/>
        <w:autoSpaceDN w:val="0"/>
        <w:adjustRightInd w:val="0"/>
        <w:spacing w:line="480" w:lineRule="auto"/>
        <w:ind w:right="-720"/>
        <w:jc w:val="center"/>
        <w:outlineLvl w:val="0"/>
      </w:pPr>
      <w:r>
        <w:lastRenderedPageBreak/>
        <w:t>References</w:t>
      </w:r>
    </w:p>
    <w:p w:rsidR="00237EB0" w:rsidRPr="00CC058B" w:rsidRDefault="00237EB0" w:rsidP="00CB5664">
      <w:pPr>
        <w:spacing w:line="480" w:lineRule="auto"/>
        <w:rPr>
          <w:i/>
        </w:rPr>
      </w:pPr>
      <w:r>
        <w:t xml:space="preserve">Benefield, L.E., &amp; Higbee, R.L. (2007). </w:t>
      </w:r>
      <w:r w:rsidRPr="00CC058B">
        <w:t>Frailty and its implication for care.</w:t>
      </w:r>
      <w:r>
        <w:t xml:space="preserve"> </w:t>
      </w:r>
      <w:r w:rsidRPr="00CC058B">
        <w:rPr>
          <w:i/>
        </w:rPr>
        <w:t xml:space="preserve">Hartford Institute </w:t>
      </w:r>
    </w:p>
    <w:p w:rsidR="00237EB0" w:rsidRDefault="00237EB0" w:rsidP="00CB5664">
      <w:pPr>
        <w:spacing w:line="480" w:lineRule="auto"/>
      </w:pPr>
      <w:r w:rsidRPr="00CC058B">
        <w:rPr>
          <w:i/>
        </w:rPr>
        <w:tab/>
        <w:t>for Geriatric Nursing.</w:t>
      </w:r>
      <w:r>
        <w:t xml:space="preserve"> Retrieved from </w:t>
      </w:r>
      <w:r w:rsidRPr="00237EB0">
        <w:t>http://consultgerirn.org/topics/frailty_and_its_</w:t>
      </w:r>
    </w:p>
    <w:p w:rsidR="00A1789C" w:rsidRDefault="00237EB0" w:rsidP="00CB5664">
      <w:pPr>
        <w:spacing w:line="480" w:lineRule="auto"/>
      </w:pPr>
      <w:r>
        <w:tab/>
        <w:t>implications_for_care_new/want_to_know_more</w:t>
      </w:r>
    </w:p>
    <w:p w:rsidR="0009532B" w:rsidRDefault="0009532B" w:rsidP="00CB5664">
      <w:pPr>
        <w:spacing w:line="480" w:lineRule="auto"/>
      </w:pPr>
      <w:r>
        <w:t xml:space="preserve">Cheniak, E.P., Forez, H.J., &amp; Troen, B.R. (2007). Emerging therapies to treat frailty syndrome in </w:t>
      </w:r>
    </w:p>
    <w:p w:rsidR="0009532B" w:rsidRDefault="0009532B" w:rsidP="00CB5664">
      <w:pPr>
        <w:spacing w:line="480" w:lineRule="auto"/>
      </w:pPr>
      <w:r>
        <w:tab/>
        <w:t xml:space="preserve">the elderly. </w:t>
      </w:r>
      <w:r w:rsidRPr="0009532B">
        <w:rPr>
          <w:i/>
        </w:rPr>
        <w:t>Alternative Medicine Review</w:t>
      </w:r>
      <w:r>
        <w:t xml:space="preserve">. Retrieved from </w:t>
      </w:r>
      <w:r w:rsidRPr="0009532B">
        <w:t>http://findarticles.com/p/</w:t>
      </w:r>
    </w:p>
    <w:p w:rsidR="0009532B" w:rsidRDefault="0009532B" w:rsidP="00CB5664">
      <w:pPr>
        <w:spacing w:line="480" w:lineRule="auto"/>
      </w:pPr>
      <w:r>
        <w:tab/>
        <w:t>articles/mi_m0FDN/is_3_12/ai_n27421818/pg_7/?tag-content;col1</w:t>
      </w:r>
      <w:r w:rsidR="00237EB0">
        <w:t xml:space="preserve"> </w:t>
      </w:r>
    </w:p>
    <w:p w:rsidR="00A1789C" w:rsidRPr="00CC058B" w:rsidRDefault="00237EB0" w:rsidP="00CB5664">
      <w:pPr>
        <w:spacing w:line="480" w:lineRule="auto"/>
        <w:rPr>
          <w:i/>
        </w:rPr>
      </w:pPr>
      <w:r>
        <w:t xml:space="preserve"> </w:t>
      </w:r>
      <w:r w:rsidR="00A1789C">
        <w:t xml:space="preserve">Espinoza, S.E., &amp; Fried, L.P. (2007). </w:t>
      </w:r>
      <w:r w:rsidR="00A1789C" w:rsidRPr="00CC058B">
        <w:t>Risk factors for frailty in the older adults.</w:t>
      </w:r>
      <w:r w:rsidR="00A1789C">
        <w:t xml:space="preserve"> </w:t>
      </w:r>
      <w:r w:rsidR="00A1789C" w:rsidRPr="00CC058B">
        <w:rPr>
          <w:i/>
        </w:rPr>
        <w:t xml:space="preserve">John Hopkins </w:t>
      </w:r>
    </w:p>
    <w:p w:rsidR="00A1789C" w:rsidRDefault="00A1789C" w:rsidP="00CB5664">
      <w:pPr>
        <w:spacing w:line="480" w:lineRule="auto"/>
      </w:pPr>
      <w:r w:rsidRPr="00CC058B">
        <w:rPr>
          <w:i/>
        </w:rPr>
        <w:tab/>
        <w:t xml:space="preserve">Medicine. </w:t>
      </w:r>
      <w:r>
        <w:t xml:space="preserve">Retrieved from </w:t>
      </w:r>
      <w:r w:rsidRPr="00A1789C">
        <w:t>http://www.imsersomayores.csis.es/documentos/boletin/2007/</w:t>
      </w:r>
    </w:p>
    <w:p w:rsidR="009D05ED" w:rsidRDefault="00A1789C" w:rsidP="00CB5664">
      <w:pPr>
        <w:spacing w:line="480" w:lineRule="auto"/>
      </w:pPr>
      <w:r>
        <w:tab/>
        <w:t>numero-52/art/07-07-01.pdf</w:t>
      </w:r>
    </w:p>
    <w:p w:rsidR="00624E95" w:rsidRDefault="00624E95" w:rsidP="00624E95">
      <w:pPr>
        <w:spacing w:line="480" w:lineRule="auto"/>
      </w:pPr>
      <w:r>
        <w:t xml:space="preserve">Shardell, M., Hicks, G.E., Miller, R.R., Kritchevsky, S., Anderson, D., Bandinelli, S., … </w:t>
      </w:r>
    </w:p>
    <w:p w:rsidR="00BE78F7" w:rsidRDefault="00624E95" w:rsidP="00624E95">
      <w:pPr>
        <w:spacing w:line="480" w:lineRule="auto"/>
      </w:pPr>
      <w:r>
        <w:tab/>
        <w:t>Ferrucci, L. (2009).</w:t>
      </w:r>
      <w:r w:rsidR="00BE78F7">
        <w:t xml:space="preserve"> Association of low vitamin D levels with the frailty syndrome in </w:t>
      </w:r>
    </w:p>
    <w:p w:rsidR="0009532B" w:rsidRPr="00E41DFD" w:rsidRDefault="00BE78F7" w:rsidP="00BE78F7">
      <w:pPr>
        <w:spacing w:line="480" w:lineRule="auto"/>
        <w:rPr>
          <w:color w:val="FF0000"/>
        </w:rPr>
      </w:pPr>
      <w:r>
        <w:tab/>
        <w:t xml:space="preserve">men and women. </w:t>
      </w:r>
      <w:r w:rsidR="00624E95" w:rsidRPr="00624E95">
        <w:rPr>
          <w:i/>
        </w:rPr>
        <w:t>The Journal of Gerontology,</w:t>
      </w:r>
      <w:r w:rsidR="00624E95">
        <w:t xml:space="preserve"> </w:t>
      </w:r>
      <w:proofErr w:type="gramStart"/>
      <w:r w:rsidR="00624E95" w:rsidRPr="00E41DFD">
        <w:rPr>
          <w:i/>
          <w:color w:val="FF0000"/>
        </w:rPr>
        <w:t>64A</w:t>
      </w:r>
      <w:r w:rsidR="00624E95">
        <w:t>(</w:t>
      </w:r>
      <w:proofErr w:type="gramEnd"/>
      <w:r w:rsidR="00624E95">
        <w:t>1), 69-75.</w:t>
      </w:r>
      <w:r>
        <w:t xml:space="preserve"> </w:t>
      </w:r>
      <w:r w:rsidR="00E41DFD">
        <w:t xml:space="preserve"> </w:t>
      </w:r>
      <w:r w:rsidR="00E41DFD" w:rsidRPr="00E41DFD">
        <w:rPr>
          <w:color w:val="FF0000"/>
        </w:rPr>
        <w:t>Did you retrieve this from the internet?</w:t>
      </w:r>
    </w:p>
    <w:p w:rsidR="00780711" w:rsidRDefault="00780711" w:rsidP="00CB5664">
      <w:pPr>
        <w:spacing w:line="480" w:lineRule="auto"/>
      </w:pPr>
      <w:r>
        <w:t xml:space="preserve"> </w:t>
      </w:r>
    </w:p>
    <w:p w:rsidR="00780711" w:rsidRDefault="00780711" w:rsidP="00CB5664">
      <w:pPr>
        <w:spacing w:line="480" w:lineRule="auto"/>
      </w:pPr>
    </w:p>
    <w:p w:rsidR="005F0B50" w:rsidRDefault="005F0B50" w:rsidP="00CB5664">
      <w:pPr>
        <w:spacing w:line="480" w:lineRule="auto"/>
      </w:pPr>
    </w:p>
    <w:sectPr w:rsidR="005F0B50" w:rsidSect="00780711">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6T22:23:00Z" w:initials="M">
    <w:p w:rsidR="00E41DFD" w:rsidRDefault="00E41DFD">
      <w:pPr>
        <w:pStyle w:val="CommentText"/>
      </w:pPr>
      <w:r>
        <w:rPr>
          <w:rStyle w:val="CommentReference"/>
        </w:rPr>
        <w:annotationRef/>
      </w:r>
      <w:r>
        <w:t>Use a title on the second page</w:t>
      </w:r>
    </w:p>
  </w:comment>
  <w:comment w:id="1" w:author="Mary" w:date="2012-02-26T22:23:00Z" w:initials="M">
    <w:p w:rsidR="00E41DFD" w:rsidRDefault="00E41DFD">
      <w:pPr>
        <w:pStyle w:val="CommentText"/>
      </w:pPr>
      <w:r>
        <w:rPr>
          <w:rStyle w:val="CommentReference"/>
        </w:rPr>
        <w:annotationRef/>
      </w:r>
      <w:r>
        <w:t>Need page numbers for direct quote</w:t>
      </w:r>
    </w:p>
  </w:comment>
  <w:comment w:id="2" w:author="Mary" w:date="2012-02-26T22:24:00Z" w:initials="M">
    <w:p w:rsidR="00E41DFD" w:rsidRDefault="00E41DFD">
      <w:pPr>
        <w:pStyle w:val="CommentText"/>
      </w:pPr>
      <w:r>
        <w:rPr>
          <w:rStyle w:val="CommentReference"/>
        </w:rPr>
        <w:annotationRef/>
      </w:r>
      <w:r>
        <w:t xml:space="preserve">Page number or </w:t>
      </w:r>
      <w:proofErr w:type="spellStart"/>
      <w:r>
        <w:t>paragragh</w:t>
      </w:r>
      <w:proofErr w:type="spellEnd"/>
      <w:r>
        <w:t xml:space="preserve"> number needed</w:t>
      </w:r>
    </w:p>
  </w:comment>
  <w:comment w:id="3" w:author="Mary" w:date="2012-02-26T22:25:00Z" w:initials="M">
    <w:p w:rsidR="00E41DFD" w:rsidRDefault="00E41DFD">
      <w:pPr>
        <w:pStyle w:val="CommentText"/>
      </w:pPr>
      <w:r>
        <w:rPr>
          <w:rStyle w:val="CommentReference"/>
        </w:rPr>
        <w:annotationRef/>
      </w:r>
      <w:r>
        <w:t xml:space="preserve">Pg </w:t>
      </w:r>
      <w:proofErr w:type="gramStart"/>
      <w:r>
        <w:t>nu  needed</w:t>
      </w:r>
      <w:proofErr w:type="gramEnd"/>
    </w:p>
  </w:comment>
  <w:comment w:id="4" w:author="Mary" w:date="2012-02-26T22:25:00Z" w:initials="M">
    <w:p w:rsidR="00E41DFD" w:rsidRDefault="00E41DFD">
      <w:pPr>
        <w:pStyle w:val="CommentText"/>
      </w:pPr>
      <w:r>
        <w:rPr>
          <w:rStyle w:val="CommentReference"/>
        </w:rPr>
        <w:annotationRef/>
      </w:r>
      <w:r>
        <w:t>Same as above</w:t>
      </w:r>
    </w:p>
  </w:comment>
  <w:comment w:id="5" w:author="Mary" w:date="2012-02-26T22:25:00Z" w:initials="M">
    <w:p w:rsidR="00E41DFD" w:rsidRDefault="00E41DFD">
      <w:pPr>
        <w:pStyle w:val="CommentText"/>
      </w:pPr>
      <w:r>
        <w:rPr>
          <w:rStyle w:val="CommentReference"/>
        </w:rPr>
        <w:annotationRef/>
      </w:r>
      <w:proofErr w:type="gramStart"/>
      <w:r>
        <w:t>same</w:t>
      </w:r>
      <w:proofErr w:type="gramEnd"/>
    </w:p>
  </w:comment>
  <w:comment w:id="6" w:author="Mary" w:date="2012-02-26T22:26:00Z" w:initials="M">
    <w:p w:rsidR="00E41DFD" w:rsidRDefault="00E41DFD">
      <w:pPr>
        <w:pStyle w:val="CommentText"/>
      </w:pPr>
      <w:r>
        <w:rPr>
          <w:rStyle w:val="CommentReference"/>
        </w:rPr>
        <w:annotationRef/>
      </w:r>
      <w:proofErr w:type="gramStart"/>
      <w:r>
        <w:t>same</w:t>
      </w:r>
      <w:proofErr w:type="gramEnd"/>
      <w:r>
        <w:t xml:space="preserve"> as above</w:t>
      </w:r>
    </w:p>
  </w:comment>
  <w:comment w:id="7" w:author="Mary" w:date="2012-02-26T22:28:00Z" w:initials="M">
    <w:p w:rsidR="00E41DFD" w:rsidRDefault="00E41DFD">
      <w:pPr>
        <w:pStyle w:val="CommentText"/>
      </w:pPr>
      <w:r>
        <w:rPr>
          <w:rStyle w:val="CommentReference"/>
        </w:rPr>
        <w:annotationRef/>
      </w:r>
      <w:proofErr w:type="gramStart"/>
      <w:r>
        <w:t>need</w:t>
      </w:r>
      <w:proofErr w:type="gramEnd"/>
      <w:r>
        <w:t xml:space="preserve"> pg nu</w:t>
      </w:r>
    </w:p>
  </w:comment>
  <w:comment w:id="8" w:author="Mary" w:date="2012-02-26T22:29:00Z" w:initials="M">
    <w:p w:rsidR="00E41DFD" w:rsidRDefault="00E41DFD">
      <w:pPr>
        <w:pStyle w:val="CommentText"/>
      </w:pPr>
      <w:r>
        <w:rPr>
          <w:rStyle w:val="CommentReference"/>
        </w:rPr>
        <w:annotationRef/>
      </w:r>
      <w:proofErr w:type="gramStart"/>
      <w:r>
        <w:t>need</w:t>
      </w:r>
      <w:proofErr w:type="gramEnd"/>
      <w:r>
        <w:t xml:space="preserve"> pg nu or </w:t>
      </w:r>
      <w:proofErr w:type="spellStart"/>
      <w:r>
        <w:t>paragragh</w:t>
      </w:r>
      <w:proofErr w:type="spellEnd"/>
      <w:r>
        <w:t xml:space="preserve"> 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F9" w:rsidRDefault="001229F9" w:rsidP="001229F9">
      <w:r>
        <w:separator/>
      </w:r>
    </w:p>
  </w:endnote>
  <w:endnote w:type="continuationSeparator" w:id="0">
    <w:p w:rsidR="001229F9" w:rsidRDefault="001229F9" w:rsidP="001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F9" w:rsidRDefault="001229F9" w:rsidP="001229F9">
      <w:r>
        <w:separator/>
      </w:r>
    </w:p>
  </w:footnote>
  <w:footnote w:type="continuationSeparator" w:id="0">
    <w:p w:rsidR="001229F9" w:rsidRDefault="001229F9" w:rsidP="001229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95" w:rsidRDefault="001229F9" w:rsidP="005F0B50">
    <w:pPr>
      <w:pStyle w:val="Header"/>
      <w:framePr w:wrap="around" w:vAnchor="text" w:hAnchor="margin" w:xAlign="right" w:y="1"/>
      <w:rPr>
        <w:rStyle w:val="PageNumber"/>
      </w:rPr>
    </w:pPr>
    <w:r>
      <w:rPr>
        <w:rStyle w:val="PageNumber"/>
      </w:rPr>
      <w:fldChar w:fldCharType="begin"/>
    </w:r>
    <w:r w:rsidR="00624E95">
      <w:rPr>
        <w:rStyle w:val="PageNumber"/>
      </w:rPr>
      <w:instrText xml:space="preserve">PAGE  </w:instrText>
    </w:r>
    <w:r>
      <w:rPr>
        <w:rStyle w:val="PageNumber"/>
      </w:rPr>
      <w:fldChar w:fldCharType="end"/>
    </w:r>
  </w:p>
  <w:p w:rsidR="00624E95" w:rsidRDefault="00624E95" w:rsidP="0078071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95" w:rsidRDefault="001229F9" w:rsidP="005F0B50">
    <w:pPr>
      <w:pStyle w:val="Header"/>
      <w:framePr w:wrap="around" w:vAnchor="text" w:hAnchor="margin" w:xAlign="right" w:y="1"/>
      <w:rPr>
        <w:rStyle w:val="PageNumber"/>
      </w:rPr>
    </w:pPr>
    <w:r>
      <w:rPr>
        <w:rStyle w:val="PageNumber"/>
      </w:rPr>
      <w:fldChar w:fldCharType="begin"/>
    </w:r>
    <w:r w:rsidR="00624E95">
      <w:rPr>
        <w:rStyle w:val="PageNumber"/>
      </w:rPr>
      <w:instrText xml:space="preserve">PAGE  </w:instrText>
    </w:r>
    <w:r>
      <w:rPr>
        <w:rStyle w:val="PageNumber"/>
      </w:rPr>
      <w:fldChar w:fldCharType="separate"/>
    </w:r>
    <w:r w:rsidR="00E41DFD">
      <w:rPr>
        <w:rStyle w:val="PageNumber"/>
        <w:noProof/>
      </w:rPr>
      <w:t>2</w:t>
    </w:r>
    <w:r>
      <w:rPr>
        <w:rStyle w:val="PageNumber"/>
      </w:rPr>
      <w:fldChar w:fldCharType="end"/>
    </w:r>
  </w:p>
  <w:p w:rsidR="00624E95" w:rsidRDefault="00624E95" w:rsidP="00780711">
    <w:pPr>
      <w:pStyle w:val="Header"/>
      <w:ind w:right="360"/>
    </w:pPr>
    <w:r>
      <w:t>CASE STUDY 5.2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E95" w:rsidRDefault="001229F9" w:rsidP="005F0B50">
    <w:pPr>
      <w:pStyle w:val="Header"/>
      <w:framePr w:wrap="around" w:vAnchor="text" w:hAnchor="margin" w:xAlign="right" w:y="1"/>
      <w:rPr>
        <w:rStyle w:val="PageNumber"/>
      </w:rPr>
    </w:pPr>
    <w:r>
      <w:rPr>
        <w:rStyle w:val="PageNumber"/>
      </w:rPr>
      <w:fldChar w:fldCharType="begin"/>
    </w:r>
    <w:r w:rsidR="00624E95">
      <w:rPr>
        <w:rStyle w:val="PageNumber"/>
      </w:rPr>
      <w:instrText xml:space="preserve">PAGE  </w:instrText>
    </w:r>
    <w:r>
      <w:rPr>
        <w:rStyle w:val="PageNumber"/>
      </w:rPr>
      <w:fldChar w:fldCharType="separate"/>
    </w:r>
    <w:r w:rsidR="00E41DFD">
      <w:rPr>
        <w:rStyle w:val="PageNumber"/>
        <w:noProof/>
      </w:rPr>
      <w:t>1</w:t>
    </w:r>
    <w:r>
      <w:rPr>
        <w:rStyle w:val="PageNumber"/>
      </w:rPr>
      <w:fldChar w:fldCharType="end"/>
    </w:r>
  </w:p>
  <w:p w:rsidR="00624E95" w:rsidRDefault="00624E95" w:rsidP="00780711">
    <w:pPr>
      <w:pStyle w:val="Header"/>
      <w:ind w:right="360"/>
    </w:pPr>
    <w:r>
      <w:t>Running head: CASE STUDY 5.2</w:t>
    </w:r>
  </w:p>
  <w:p w:rsidR="00624E95" w:rsidRDefault="00624E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32711"/>
    <w:multiLevelType w:val="hybridMultilevel"/>
    <w:tmpl w:val="B27E2AFA"/>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EF36CA"/>
    <w:multiLevelType w:val="hybridMultilevel"/>
    <w:tmpl w:val="5E2884D8"/>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81BCA"/>
    <w:multiLevelType w:val="multilevel"/>
    <w:tmpl w:val="B852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9523B"/>
    <w:multiLevelType w:val="hybridMultilevel"/>
    <w:tmpl w:val="B27E2AFA"/>
    <w:lvl w:ilvl="0" w:tplc="F69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80711"/>
    <w:rsid w:val="0009532B"/>
    <w:rsid w:val="001229F9"/>
    <w:rsid w:val="00127928"/>
    <w:rsid w:val="00167BB6"/>
    <w:rsid w:val="00237EB0"/>
    <w:rsid w:val="003533A9"/>
    <w:rsid w:val="003D47F0"/>
    <w:rsid w:val="005C2A9B"/>
    <w:rsid w:val="005D62F5"/>
    <w:rsid w:val="005F0B50"/>
    <w:rsid w:val="00624E95"/>
    <w:rsid w:val="006D24B4"/>
    <w:rsid w:val="006F04FD"/>
    <w:rsid w:val="00780711"/>
    <w:rsid w:val="008F5D08"/>
    <w:rsid w:val="00900948"/>
    <w:rsid w:val="009547B7"/>
    <w:rsid w:val="009D05ED"/>
    <w:rsid w:val="009F4103"/>
    <w:rsid w:val="00A040F6"/>
    <w:rsid w:val="00A1789C"/>
    <w:rsid w:val="00BD68EB"/>
    <w:rsid w:val="00BE78F7"/>
    <w:rsid w:val="00C02997"/>
    <w:rsid w:val="00CB5664"/>
    <w:rsid w:val="00CC058B"/>
    <w:rsid w:val="00D927AA"/>
    <w:rsid w:val="00E251F5"/>
    <w:rsid w:val="00E41DFD"/>
    <w:rsid w:val="00EB2C6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711"/>
    <w:pPr>
      <w:tabs>
        <w:tab w:val="center" w:pos="4320"/>
        <w:tab w:val="right" w:pos="8640"/>
      </w:tabs>
    </w:pPr>
  </w:style>
  <w:style w:type="character" w:customStyle="1" w:styleId="HeaderChar">
    <w:name w:val="Header Char"/>
    <w:basedOn w:val="DefaultParagraphFont"/>
    <w:link w:val="Header"/>
    <w:uiPriority w:val="99"/>
    <w:semiHidden/>
    <w:rsid w:val="00780711"/>
    <w:rPr>
      <w:rFonts w:ascii="Times New Roman" w:eastAsia="Times New Roman" w:hAnsi="Times New Roman" w:cs="Times New Roman"/>
    </w:rPr>
  </w:style>
  <w:style w:type="paragraph" w:styleId="Footer">
    <w:name w:val="footer"/>
    <w:basedOn w:val="Normal"/>
    <w:link w:val="FooterChar"/>
    <w:uiPriority w:val="99"/>
    <w:semiHidden/>
    <w:unhideWhenUsed/>
    <w:rsid w:val="00780711"/>
    <w:pPr>
      <w:tabs>
        <w:tab w:val="center" w:pos="4320"/>
        <w:tab w:val="right" w:pos="8640"/>
      </w:tabs>
    </w:pPr>
  </w:style>
  <w:style w:type="character" w:customStyle="1" w:styleId="FooterChar">
    <w:name w:val="Footer Char"/>
    <w:basedOn w:val="DefaultParagraphFont"/>
    <w:link w:val="Footer"/>
    <w:uiPriority w:val="99"/>
    <w:semiHidden/>
    <w:rsid w:val="00780711"/>
    <w:rPr>
      <w:rFonts w:ascii="Times New Roman" w:eastAsia="Times New Roman" w:hAnsi="Times New Roman" w:cs="Times New Roman"/>
    </w:rPr>
  </w:style>
  <w:style w:type="character" w:styleId="PageNumber">
    <w:name w:val="page number"/>
    <w:basedOn w:val="DefaultParagraphFont"/>
    <w:uiPriority w:val="99"/>
    <w:semiHidden/>
    <w:unhideWhenUsed/>
    <w:rsid w:val="00780711"/>
  </w:style>
  <w:style w:type="character" w:customStyle="1" w:styleId="apple-style-span">
    <w:name w:val="apple-style-span"/>
    <w:basedOn w:val="DefaultParagraphFont"/>
    <w:rsid w:val="00780711"/>
  </w:style>
  <w:style w:type="paragraph" w:styleId="ListParagraph">
    <w:name w:val="List Paragraph"/>
    <w:basedOn w:val="Normal"/>
    <w:uiPriority w:val="34"/>
    <w:qFormat/>
    <w:rsid w:val="005F0B50"/>
    <w:pPr>
      <w:ind w:left="720"/>
      <w:contextualSpacing/>
    </w:pPr>
  </w:style>
  <w:style w:type="character" w:styleId="Hyperlink">
    <w:name w:val="Hyperlink"/>
    <w:basedOn w:val="DefaultParagraphFont"/>
    <w:uiPriority w:val="99"/>
    <w:semiHidden/>
    <w:unhideWhenUsed/>
    <w:rsid w:val="00237EB0"/>
    <w:rPr>
      <w:color w:val="0000FF" w:themeColor="hyperlink"/>
      <w:u w:val="single"/>
    </w:rPr>
  </w:style>
  <w:style w:type="character" w:styleId="CommentReference">
    <w:name w:val="annotation reference"/>
    <w:basedOn w:val="DefaultParagraphFont"/>
    <w:uiPriority w:val="99"/>
    <w:semiHidden/>
    <w:unhideWhenUsed/>
    <w:rsid w:val="00E41DFD"/>
    <w:rPr>
      <w:sz w:val="16"/>
      <w:szCs w:val="16"/>
    </w:rPr>
  </w:style>
  <w:style w:type="paragraph" w:styleId="CommentText">
    <w:name w:val="annotation text"/>
    <w:basedOn w:val="Normal"/>
    <w:link w:val="CommentTextChar"/>
    <w:uiPriority w:val="99"/>
    <w:semiHidden/>
    <w:unhideWhenUsed/>
    <w:rsid w:val="00E41DFD"/>
    <w:rPr>
      <w:sz w:val="20"/>
      <w:szCs w:val="20"/>
    </w:rPr>
  </w:style>
  <w:style w:type="character" w:customStyle="1" w:styleId="CommentTextChar">
    <w:name w:val="Comment Text Char"/>
    <w:basedOn w:val="DefaultParagraphFont"/>
    <w:link w:val="CommentText"/>
    <w:uiPriority w:val="99"/>
    <w:semiHidden/>
    <w:rsid w:val="00E41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1DFD"/>
    <w:rPr>
      <w:b/>
      <w:bCs/>
    </w:rPr>
  </w:style>
  <w:style w:type="character" w:customStyle="1" w:styleId="CommentSubjectChar">
    <w:name w:val="Comment Subject Char"/>
    <w:basedOn w:val="CommentTextChar"/>
    <w:link w:val="CommentSubject"/>
    <w:uiPriority w:val="99"/>
    <w:semiHidden/>
    <w:rsid w:val="00E41DFD"/>
    <w:rPr>
      <w:b/>
      <w:bCs/>
    </w:rPr>
  </w:style>
  <w:style w:type="paragraph" w:styleId="BalloonText">
    <w:name w:val="Balloon Text"/>
    <w:basedOn w:val="Normal"/>
    <w:link w:val="BalloonTextChar"/>
    <w:uiPriority w:val="99"/>
    <w:semiHidden/>
    <w:unhideWhenUsed/>
    <w:rsid w:val="00E41DFD"/>
    <w:rPr>
      <w:rFonts w:ascii="Tahoma" w:hAnsi="Tahoma" w:cs="Tahoma"/>
      <w:sz w:val="16"/>
      <w:szCs w:val="16"/>
    </w:rPr>
  </w:style>
  <w:style w:type="character" w:customStyle="1" w:styleId="BalloonTextChar">
    <w:name w:val="Balloon Text Char"/>
    <w:basedOn w:val="DefaultParagraphFont"/>
    <w:link w:val="BalloonText"/>
    <w:uiPriority w:val="99"/>
    <w:semiHidden/>
    <w:rsid w:val="00E41DF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9447902">
      <w:bodyDiv w:val="1"/>
      <w:marLeft w:val="0"/>
      <w:marRight w:val="0"/>
      <w:marTop w:val="0"/>
      <w:marBottom w:val="0"/>
      <w:divBdr>
        <w:top w:val="none" w:sz="0" w:space="0" w:color="auto"/>
        <w:left w:val="none" w:sz="0" w:space="0" w:color="auto"/>
        <w:bottom w:val="none" w:sz="0" w:space="0" w:color="auto"/>
        <w:right w:val="none" w:sz="0" w:space="0" w:color="auto"/>
      </w:divBdr>
    </w:div>
    <w:div w:id="19487361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811</Words>
  <Characters>4624</Characters>
  <Application>Microsoft Office Word</Application>
  <DocSecurity>4</DocSecurity>
  <Lines>38</Lines>
  <Paragraphs>10</Paragraphs>
  <ScaleCrop>false</ScaleCrop>
  <Company/>
  <LinksUpToDate>false</LinksUpToDate>
  <CharactersWithSpaces>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madhavi chaudhary</dc:creator>
  <cp:lastModifiedBy>Mary</cp:lastModifiedBy>
  <cp:revision>2</cp:revision>
  <dcterms:created xsi:type="dcterms:W3CDTF">2012-02-27T04:31:00Z</dcterms:created>
  <dcterms:modified xsi:type="dcterms:W3CDTF">2012-02-27T04:31:00Z</dcterms:modified>
</cp:coreProperties>
</file>