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D8" w:rsidRDefault="000F3FD8" w:rsidP="008F7507">
      <w:pPr>
        <w:jc w:val="center"/>
      </w:pPr>
    </w:p>
    <w:p w:rsidR="008F7507" w:rsidRDefault="008F7507" w:rsidP="008F7507">
      <w:pPr>
        <w:jc w:val="center"/>
      </w:pPr>
    </w:p>
    <w:p w:rsidR="008F7507" w:rsidRDefault="008F7507" w:rsidP="008F7507">
      <w:pPr>
        <w:jc w:val="center"/>
      </w:pPr>
    </w:p>
    <w:p w:rsidR="008F7507" w:rsidRDefault="008F7507" w:rsidP="008F7507">
      <w:pPr>
        <w:jc w:val="center"/>
      </w:pPr>
    </w:p>
    <w:p w:rsidR="008F7507" w:rsidRDefault="008F7507" w:rsidP="008F7507">
      <w:pPr>
        <w:jc w:val="center"/>
      </w:pPr>
    </w:p>
    <w:p w:rsidR="008F7507" w:rsidRDefault="008F7507" w:rsidP="008F7507">
      <w:pPr>
        <w:jc w:val="center"/>
      </w:pPr>
    </w:p>
    <w:p w:rsidR="008F7507" w:rsidRDefault="008F7507" w:rsidP="008F7507">
      <w:pPr>
        <w:spacing w:line="480" w:lineRule="auto"/>
        <w:jc w:val="center"/>
      </w:pPr>
      <w:r>
        <w:t>Morgan Murphy</w:t>
      </w:r>
    </w:p>
    <w:p w:rsidR="008F7507" w:rsidRDefault="008F7507" w:rsidP="008F7507">
      <w:pPr>
        <w:spacing w:line="480" w:lineRule="auto"/>
        <w:jc w:val="center"/>
      </w:pPr>
      <w:r>
        <w:t>Lorazepam</w:t>
      </w:r>
    </w:p>
    <w:p w:rsidR="008F7507" w:rsidRDefault="008F7507" w:rsidP="008F7507">
      <w:pPr>
        <w:spacing w:line="480" w:lineRule="auto"/>
        <w:jc w:val="center"/>
      </w:pPr>
      <w:r>
        <w:t>Lakeview College of Nursing</w:t>
      </w:r>
    </w:p>
    <w:p w:rsidR="008F7507" w:rsidRDefault="008F7507" w:rsidP="008F7507">
      <w:pPr>
        <w:spacing w:line="480" w:lineRule="auto"/>
        <w:jc w:val="center"/>
      </w:pPr>
      <w:r>
        <w:t>01/24/2013</w:t>
      </w:r>
    </w:p>
    <w:p w:rsidR="008F7507" w:rsidRDefault="008F7507">
      <w:r>
        <w:br w:type="page"/>
      </w:r>
    </w:p>
    <w:p w:rsidR="008F7507" w:rsidRDefault="008F7507" w:rsidP="008F7507">
      <w:pPr>
        <w:spacing w:line="480" w:lineRule="auto"/>
      </w:pPr>
      <w:r>
        <w:lastRenderedPageBreak/>
        <w:tab/>
      </w:r>
      <w:r w:rsidR="00D1051B">
        <w:t xml:space="preserve">Lorazepam is a medication that belongs to a group of drugs known as </w:t>
      </w:r>
      <w:r>
        <w:t>Benzodiazepines</w:t>
      </w:r>
      <w:r w:rsidR="00D1051B">
        <w:t>.  These medications are most commonly used as anti-anxiety medications.  These medications work by depressing the CNS.  Lorazepam is known by many trade names, but the most common is Ativan.</w:t>
      </w:r>
    </w:p>
    <w:p w:rsidR="00D1051B" w:rsidRDefault="00D1051B" w:rsidP="008F7507">
      <w:pPr>
        <w:spacing w:line="480" w:lineRule="auto"/>
      </w:pPr>
      <w:r>
        <w:tab/>
        <w:t>Lorazepam is a short acting Benzodiazepine.  It</w:t>
      </w:r>
      <w:r w:rsidR="00252B51">
        <w:t>’</w:t>
      </w:r>
      <w:r>
        <w:t xml:space="preserve">s mechanism of action is to </w:t>
      </w:r>
      <w:r w:rsidR="00252B51">
        <w:t>potentiate actions of</w:t>
      </w:r>
      <w:r>
        <w:t xml:space="preserve"> GABA</w:t>
      </w:r>
      <w:r w:rsidR="00252B51">
        <w:t xml:space="preserve"> (gamma-a</w:t>
      </w:r>
      <w:r w:rsidR="00252B51" w:rsidRPr="00252B51">
        <w:t>minobutyric acid</w:t>
      </w:r>
      <w:r w:rsidR="00252B51">
        <w:t>), which regulates neuron excitation in the human brain and body.  By enhancing the action of GABA, Lorazepam and other benzodiazepines can prevent neurons from becoming too stimulated, therefore promoting relaxation and preventing spikes of anxiety.</w:t>
      </w:r>
      <w:r w:rsidR="00C537E2">
        <w:t xml:space="preserve">  It can be taken orally, by intramuscular injection, and intravenously.  It is metabolized by the liver, and excreted by the kidneys.</w:t>
      </w:r>
      <w:r w:rsidR="001949C6">
        <w:t xml:space="preserve">  It also can cross the blood/brain barrier and placenta.</w:t>
      </w:r>
    </w:p>
    <w:p w:rsidR="00C537E2" w:rsidRDefault="00C537E2" w:rsidP="00C537E2">
      <w:pPr>
        <w:spacing w:line="480" w:lineRule="auto"/>
      </w:pPr>
      <w:r>
        <w:tab/>
        <w:t xml:space="preserve">This medication is most often used to treat GAD (generalized anxiety disorder), seizures, alcohol withdrawal, panic disorders, irritability in psychiatric disorders, and insomnia.  It also has an unlabeled use as being used as an </w:t>
      </w:r>
      <w:r w:rsidRPr="00C537E2">
        <w:t>anti</w:t>
      </w:r>
      <w:r>
        <w:t>-</w:t>
      </w:r>
      <w:r w:rsidRPr="00C537E2">
        <w:t>emetic prior to chemotherapy</w:t>
      </w:r>
      <w:r>
        <w:t xml:space="preserve">.  It is also commonly used as a precursor to anesthesia to calm the patient and for it’s amnesiac properties.  It helps the patient to fall asleep more easily and not remember.  </w:t>
      </w:r>
    </w:p>
    <w:p w:rsidR="00C537E2" w:rsidRDefault="00C537E2" w:rsidP="001949C6">
      <w:pPr>
        <w:spacing w:line="480" w:lineRule="auto"/>
        <w:ind w:firstLine="720"/>
      </w:pPr>
      <w:r>
        <w:t>Some common side effects include dizziness, drowsiness, confusion, headache, anxiety tremors, orthostatic hypotension, tachycardia, apnea, blurred visi</w:t>
      </w:r>
      <w:r w:rsidR="001949C6">
        <w:t>on.  Cardiac arrest can also occur if given rapidly intravenously.  The side effects can become more common or severe if taken for longer periods of time.</w:t>
      </w:r>
    </w:p>
    <w:p w:rsidR="001949C6" w:rsidRDefault="001949C6" w:rsidP="001949C6">
      <w:pPr>
        <w:spacing w:line="480" w:lineRule="auto"/>
        <w:ind w:firstLine="720"/>
      </w:pPr>
      <w:r>
        <w:t xml:space="preserve">The use of this medication is contraindicated in patients with closed-angle glaucoma, psychosis, history of drug abuse, COPD, and sleep apnea.  Since it crosses the placenta, it is a </w:t>
      </w:r>
      <w:r>
        <w:lastRenderedPageBreak/>
        <w:t>pregnancy risk D, meaning there is proven risk to the fetus, and it also cannot be used during breast feeding.  It can be used with caution in children under 12, geriatric patients, patients with renal or hepatic disease, addictive behavior, or patients with suicidal tendencies.</w:t>
      </w:r>
    </w:p>
    <w:p w:rsidR="006A606A" w:rsidRDefault="00CF1498" w:rsidP="00CF1498">
      <w:pPr>
        <w:spacing w:line="480" w:lineRule="auto"/>
        <w:ind w:firstLine="720"/>
      </w:pPr>
      <w:r>
        <w:t>There are medications and other substances that can interact with Lorazepam in positive and negative ways.  Since it is a CNS depressant, other CNS depressants such as alcohol and other drugs can increase its depressant effects.  Some herbal supplements such as catnip, chamomile, hops, lavender, mistletoe, nettle, pokeweek, poppy, and Queen Anne’s lace can also increase CNS depression.  Oral contraceptives can increase the effects of Lorazepam.  Valproic acid can do the opposite, and decrease the effects of Lorazepam.  An herbal supplement called black cohosh can increase the side effect of hypotension.  Some herbal supplements such as catnip, chamomile, hops, lavender, mistletoe, nettle, pokeweek, poppy, and Queen Anne’s lace can increase CNS depression.</w:t>
      </w:r>
    </w:p>
    <w:p w:rsidR="00CF4556" w:rsidRDefault="00CF4556" w:rsidP="00CF4556">
      <w:pPr>
        <w:spacing w:line="480" w:lineRule="auto"/>
        <w:ind w:firstLine="720"/>
      </w:pPr>
      <w:r>
        <w:t xml:space="preserve">There are many nursing considerations for this drug.  Many of them have to do with the depressant and relaxant effects.  The nurse should assess the patient’s blood pressure lying and standing.  If the systolic blood pressure drops 20 mmHg, the drug should not be given, and the prescriber should be notified.  Since it is metabolized by the liver, hepatic studies such as AST, ALT, and alkaline phosphate levels should be monitored.  It is important to monitor mental status, including mood, affect, sleeping pattern, drowsiness, and dizziness.  The patient should also be monitored for signs and symptoms of physical dependency and withdrawal.  As with many medications for mental disorders, the patient should be assessed for suicidal tendencies and ideations.  The drug should be administered with food or milk to minimize GI upset.  The pill is able to be crushed for patients that can not take the pill as is.  One of the side effects of these drugs is dry mouth, and for this reason the patient may be given sugarless gum, hard candy, or </w:t>
      </w:r>
      <w:r>
        <w:lastRenderedPageBreak/>
        <w:t>frequent sips of water.  The drug may be injected intramuscularly, into a large muscle.  Also since the medication may cause drowsiness, it is a good idea to give the largest dose before bedtime, and the patient may also need help ambulating after the first dose.  The nurse should evaluate the therapeutic response, which should result in decreased anxiety, restlessness, or insomnia, depending what the drug is being given for.  The patient should be educated not to use the product for everyday stress, or for a period longer than four months, unless directed by the prescriber.  The patient should also understand that dependence may occur, and for this reason, they should never take more than the prescribed amount.  The patient and family should also be aware of interactions the medication may have with other medications and supplements, including over the counter medications.  Similarly, the patient should avoid alcohol.  One very important aspect of patient education is to not stop taking the medications suddenly, especially after long term use.  Otherwise withdrawal may occur.</w:t>
      </w:r>
    </w:p>
    <w:p w:rsidR="00CF4556" w:rsidRDefault="00CF4556" w:rsidP="00CF4556">
      <w:pPr>
        <w:spacing w:line="480" w:lineRule="auto"/>
        <w:ind w:firstLine="720"/>
      </w:pPr>
      <w:r>
        <w:t>Lorazepam is a drug with many beneficial effects for people with anxiety.  With proper nursing care and patient education, the adverse effects can be kept to a minimum.</w:t>
      </w:r>
    </w:p>
    <w:p w:rsidR="00CF4556" w:rsidRDefault="00CF4556">
      <w:r>
        <w:br w:type="page"/>
      </w:r>
    </w:p>
    <w:p w:rsidR="00CF4556" w:rsidRDefault="00CF4556" w:rsidP="00CF4556">
      <w:pPr>
        <w:spacing w:line="480" w:lineRule="auto"/>
        <w:ind w:firstLine="720"/>
        <w:jc w:val="center"/>
      </w:pPr>
      <w:r>
        <w:lastRenderedPageBreak/>
        <w:t>References</w:t>
      </w:r>
    </w:p>
    <w:p w:rsidR="00CF4556" w:rsidRDefault="00CF4556" w:rsidP="00CF4556">
      <w:pPr>
        <w:spacing w:line="480" w:lineRule="auto"/>
        <w:ind w:firstLine="720"/>
      </w:pPr>
      <w:r>
        <w:t xml:space="preserve">Skidmore-Roth, L. (2011). </w:t>
      </w:r>
      <w:r>
        <w:rPr>
          <w:i/>
          <w:iCs/>
        </w:rPr>
        <w:t>Mosby’s nursing drug reference</w:t>
      </w:r>
      <w:r>
        <w:t>. (24 ed.). St. Louis, MO: Elsevier Mosby</w:t>
      </w:r>
    </w:p>
    <w:p w:rsidR="00CF4556" w:rsidRDefault="00CF4556" w:rsidP="00CF4556"/>
    <w:p w:rsidR="00CF4556" w:rsidRDefault="00CF4556" w:rsidP="00CF1498">
      <w:pPr>
        <w:spacing w:line="480" w:lineRule="auto"/>
        <w:ind w:firstLine="720"/>
      </w:pPr>
    </w:p>
    <w:sectPr w:rsidR="00CF4556" w:rsidSect="000F3FD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B53" w:rsidRDefault="001D4B53" w:rsidP="008F7507">
      <w:pPr>
        <w:spacing w:after="0" w:line="240" w:lineRule="auto"/>
      </w:pPr>
      <w:r>
        <w:separator/>
      </w:r>
    </w:p>
  </w:endnote>
  <w:endnote w:type="continuationSeparator" w:id="0">
    <w:p w:rsidR="001D4B53" w:rsidRDefault="001D4B53" w:rsidP="008F7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B53" w:rsidRDefault="001D4B53" w:rsidP="008F7507">
      <w:pPr>
        <w:spacing w:after="0" w:line="240" w:lineRule="auto"/>
      </w:pPr>
      <w:r>
        <w:separator/>
      </w:r>
    </w:p>
  </w:footnote>
  <w:footnote w:type="continuationSeparator" w:id="0">
    <w:p w:rsidR="001D4B53" w:rsidRDefault="001D4B53" w:rsidP="008F75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507" w:rsidRDefault="008F7507">
    <w:pPr>
      <w:pStyle w:val="Header"/>
    </w:pPr>
    <w:r>
      <w:t>Running head: LORAZEPAM</w:t>
    </w:r>
    <w:r>
      <w:tab/>
    </w:r>
    <w:r>
      <w:tab/>
    </w:r>
    <w:fldSimple w:instr=" PAGE   \* MERGEFORMAT ">
      <w:r w:rsidR="00CF4556">
        <w:rPr>
          <w:noProof/>
        </w:rPr>
        <w:t>4</w:t>
      </w:r>
    </w:fldSimple>
  </w:p>
  <w:p w:rsidR="008F7507" w:rsidRDefault="008F75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E022D"/>
    <w:multiLevelType w:val="hybridMultilevel"/>
    <w:tmpl w:val="61B01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83367F"/>
    <w:multiLevelType w:val="hybridMultilevel"/>
    <w:tmpl w:val="5FD4E168"/>
    <w:lvl w:ilvl="0" w:tplc="02E8DFFA">
      <w:start w:val="1"/>
      <w:numFmt w:val="bullet"/>
      <w:lvlText w:val="•"/>
      <w:lvlJc w:val="left"/>
      <w:pPr>
        <w:tabs>
          <w:tab w:val="num" w:pos="720"/>
        </w:tabs>
        <w:ind w:left="720" w:hanging="360"/>
      </w:pPr>
      <w:rPr>
        <w:rFonts w:ascii="Arial" w:hAnsi="Arial" w:hint="default"/>
      </w:rPr>
    </w:lvl>
    <w:lvl w:ilvl="1" w:tplc="3AE6E0D6">
      <w:start w:val="1"/>
      <w:numFmt w:val="bullet"/>
      <w:lvlText w:val="•"/>
      <w:lvlJc w:val="left"/>
      <w:pPr>
        <w:tabs>
          <w:tab w:val="num" w:pos="1440"/>
        </w:tabs>
        <w:ind w:left="1440" w:hanging="360"/>
      </w:pPr>
      <w:rPr>
        <w:rFonts w:ascii="Arial" w:hAnsi="Arial" w:hint="default"/>
      </w:rPr>
    </w:lvl>
    <w:lvl w:ilvl="2" w:tplc="3260F83E" w:tentative="1">
      <w:start w:val="1"/>
      <w:numFmt w:val="bullet"/>
      <w:lvlText w:val="•"/>
      <w:lvlJc w:val="left"/>
      <w:pPr>
        <w:tabs>
          <w:tab w:val="num" w:pos="2160"/>
        </w:tabs>
        <w:ind w:left="2160" w:hanging="360"/>
      </w:pPr>
      <w:rPr>
        <w:rFonts w:ascii="Arial" w:hAnsi="Arial" w:hint="default"/>
      </w:rPr>
    </w:lvl>
    <w:lvl w:ilvl="3" w:tplc="F4005E24" w:tentative="1">
      <w:start w:val="1"/>
      <w:numFmt w:val="bullet"/>
      <w:lvlText w:val="•"/>
      <w:lvlJc w:val="left"/>
      <w:pPr>
        <w:tabs>
          <w:tab w:val="num" w:pos="2880"/>
        </w:tabs>
        <w:ind w:left="2880" w:hanging="360"/>
      </w:pPr>
      <w:rPr>
        <w:rFonts w:ascii="Arial" w:hAnsi="Arial" w:hint="default"/>
      </w:rPr>
    </w:lvl>
    <w:lvl w:ilvl="4" w:tplc="0FF69D06" w:tentative="1">
      <w:start w:val="1"/>
      <w:numFmt w:val="bullet"/>
      <w:lvlText w:val="•"/>
      <w:lvlJc w:val="left"/>
      <w:pPr>
        <w:tabs>
          <w:tab w:val="num" w:pos="3600"/>
        </w:tabs>
        <w:ind w:left="3600" w:hanging="360"/>
      </w:pPr>
      <w:rPr>
        <w:rFonts w:ascii="Arial" w:hAnsi="Arial" w:hint="default"/>
      </w:rPr>
    </w:lvl>
    <w:lvl w:ilvl="5" w:tplc="7EEE0832" w:tentative="1">
      <w:start w:val="1"/>
      <w:numFmt w:val="bullet"/>
      <w:lvlText w:val="•"/>
      <w:lvlJc w:val="left"/>
      <w:pPr>
        <w:tabs>
          <w:tab w:val="num" w:pos="4320"/>
        </w:tabs>
        <w:ind w:left="4320" w:hanging="360"/>
      </w:pPr>
      <w:rPr>
        <w:rFonts w:ascii="Arial" w:hAnsi="Arial" w:hint="default"/>
      </w:rPr>
    </w:lvl>
    <w:lvl w:ilvl="6" w:tplc="B8AA017E" w:tentative="1">
      <w:start w:val="1"/>
      <w:numFmt w:val="bullet"/>
      <w:lvlText w:val="•"/>
      <w:lvlJc w:val="left"/>
      <w:pPr>
        <w:tabs>
          <w:tab w:val="num" w:pos="5040"/>
        </w:tabs>
        <w:ind w:left="5040" w:hanging="360"/>
      </w:pPr>
      <w:rPr>
        <w:rFonts w:ascii="Arial" w:hAnsi="Arial" w:hint="default"/>
      </w:rPr>
    </w:lvl>
    <w:lvl w:ilvl="7" w:tplc="924E4158" w:tentative="1">
      <w:start w:val="1"/>
      <w:numFmt w:val="bullet"/>
      <w:lvlText w:val="•"/>
      <w:lvlJc w:val="left"/>
      <w:pPr>
        <w:tabs>
          <w:tab w:val="num" w:pos="5760"/>
        </w:tabs>
        <w:ind w:left="5760" w:hanging="360"/>
      </w:pPr>
      <w:rPr>
        <w:rFonts w:ascii="Arial" w:hAnsi="Arial" w:hint="default"/>
      </w:rPr>
    </w:lvl>
    <w:lvl w:ilvl="8" w:tplc="608A12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F7507"/>
    <w:rsid w:val="000F3FD8"/>
    <w:rsid w:val="001949C6"/>
    <w:rsid w:val="001D4B53"/>
    <w:rsid w:val="00252B51"/>
    <w:rsid w:val="006A606A"/>
    <w:rsid w:val="00851906"/>
    <w:rsid w:val="008F7507"/>
    <w:rsid w:val="00BB789D"/>
    <w:rsid w:val="00C537E2"/>
    <w:rsid w:val="00CF1498"/>
    <w:rsid w:val="00CF4556"/>
    <w:rsid w:val="00D1051B"/>
    <w:rsid w:val="00F12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FD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507"/>
  </w:style>
  <w:style w:type="paragraph" w:styleId="Footer">
    <w:name w:val="footer"/>
    <w:basedOn w:val="Normal"/>
    <w:link w:val="FooterChar"/>
    <w:uiPriority w:val="99"/>
    <w:semiHidden/>
    <w:unhideWhenUsed/>
    <w:rsid w:val="008F75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7507"/>
  </w:style>
  <w:style w:type="paragraph" w:styleId="BalloonText">
    <w:name w:val="Balloon Text"/>
    <w:basedOn w:val="Normal"/>
    <w:link w:val="BalloonTextChar"/>
    <w:uiPriority w:val="99"/>
    <w:semiHidden/>
    <w:unhideWhenUsed/>
    <w:rsid w:val="008F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507"/>
    <w:rPr>
      <w:rFonts w:ascii="Tahoma" w:hAnsi="Tahoma" w:cs="Tahoma"/>
      <w:sz w:val="16"/>
      <w:szCs w:val="16"/>
    </w:rPr>
  </w:style>
  <w:style w:type="paragraph" w:styleId="ListParagraph">
    <w:name w:val="List Paragraph"/>
    <w:basedOn w:val="Normal"/>
    <w:uiPriority w:val="34"/>
    <w:qFormat/>
    <w:rsid w:val="00C537E2"/>
    <w:pPr>
      <w:ind w:left="720"/>
      <w:contextualSpacing/>
    </w:pPr>
  </w:style>
</w:styles>
</file>

<file path=word/webSettings.xml><?xml version="1.0" encoding="utf-8"?>
<w:webSettings xmlns:r="http://schemas.openxmlformats.org/officeDocument/2006/relationships" xmlns:w="http://schemas.openxmlformats.org/wordprocessingml/2006/main">
  <w:divs>
    <w:div w:id="521867137">
      <w:bodyDiv w:val="1"/>
      <w:marLeft w:val="0"/>
      <w:marRight w:val="0"/>
      <w:marTop w:val="0"/>
      <w:marBottom w:val="0"/>
      <w:divBdr>
        <w:top w:val="none" w:sz="0" w:space="0" w:color="auto"/>
        <w:left w:val="none" w:sz="0" w:space="0" w:color="auto"/>
        <w:bottom w:val="none" w:sz="0" w:space="0" w:color="auto"/>
        <w:right w:val="none" w:sz="0" w:space="0" w:color="auto"/>
      </w:divBdr>
      <w:divsChild>
        <w:div w:id="171804271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1</cp:revision>
  <dcterms:created xsi:type="dcterms:W3CDTF">2013-01-24T20:58:00Z</dcterms:created>
  <dcterms:modified xsi:type="dcterms:W3CDTF">2013-02-21T04:39:00Z</dcterms:modified>
</cp:coreProperties>
</file>