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F70" w:rsidRDefault="00180F70"/>
    <w:p w:rsidR="00180F70" w:rsidRDefault="00180F70"/>
    <w:p w:rsidR="00180F70" w:rsidRDefault="00180F70"/>
    <w:p w:rsidR="00180F70" w:rsidRDefault="00180F70"/>
    <w:p w:rsidR="00180F70" w:rsidRDefault="00180F70">
      <w:pPr>
        <w:rPr>
          <w:color w:val="FF0000"/>
        </w:rPr>
      </w:pPr>
    </w:p>
    <w:p w:rsidR="00180F70" w:rsidRDefault="00180F70">
      <w:pPr>
        <w:rPr>
          <w:color w:val="FF0000"/>
        </w:rPr>
      </w:pPr>
    </w:p>
    <w:p w:rsidR="00180F70" w:rsidRDefault="00180F70">
      <w:pPr>
        <w:rPr>
          <w:color w:val="FF0000"/>
        </w:rPr>
      </w:pPr>
    </w:p>
    <w:p w:rsidR="00180F70" w:rsidRDefault="00180F70"/>
    <w:p w:rsidR="00180F70" w:rsidRPr="009674D2" w:rsidRDefault="00180F70" w:rsidP="00760CF3">
      <w:pPr>
        <w:jc w:val="center"/>
        <w:rPr>
          <w:rFonts w:ascii="Times New Roman" w:hAnsi="Times New Roman"/>
        </w:rPr>
      </w:pPr>
      <w:r>
        <w:rPr>
          <w:rFonts w:ascii="Times New Roman" w:hAnsi="Times New Roman"/>
        </w:rPr>
        <w:t>Case Study 9.1</w:t>
      </w:r>
    </w:p>
    <w:p w:rsidR="00180F70" w:rsidRPr="009674D2" w:rsidRDefault="00180F70" w:rsidP="00760CF3">
      <w:pPr>
        <w:jc w:val="center"/>
        <w:rPr>
          <w:rFonts w:ascii="Times New Roman" w:hAnsi="Times New Roman"/>
        </w:rPr>
      </w:pPr>
      <w:r w:rsidRPr="009674D2">
        <w:rPr>
          <w:rFonts w:ascii="Times New Roman" w:hAnsi="Times New Roman"/>
        </w:rPr>
        <w:t>Lynette C. Hosier</w:t>
      </w:r>
    </w:p>
    <w:p w:rsidR="00180F70" w:rsidRDefault="00180F70" w:rsidP="00760CF3">
      <w:pPr>
        <w:jc w:val="center"/>
        <w:rPr>
          <w:rFonts w:ascii="Times New Roman" w:hAnsi="Times New Roman"/>
        </w:rPr>
      </w:pPr>
      <w:r w:rsidRPr="009674D2">
        <w:rPr>
          <w:rFonts w:ascii="Times New Roman" w:hAnsi="Times New Roman"/>
        </w:rPr>
        <w:t>Lakeview College of Nursing</w:t>
      </w:r>
    </w:p>
    <w:p w:rsidR="00180F70" w:rsidRDefault="00180F70" w:rsidP="00760CF3">
      <w:pPr>
        <w:jc w:val="center"/>
        <w:rPr>
          <w:rFonts w:ascii="Times New Roman" w:hAnsi="Times New Roman"/>
        </w:rPr>
      </w:pPr>
      <w:r>
        <w:rPr>
          <w:rFonts w:ascii="Times New Roman" w:hAnsi="Times New Roman"/>
        </w:rPr>
        <w:t>N309 Gerontology</w:t>
      </w:r>
    </w:p>
    <w:p w:rsidR="00180F70" w:rsidRPr="009674D2" w:rsidRDefault="00180F70" w:rsidP="00760CF3">
      <w:pPr>
        <w:jc w:val="center"/>
        <w:rPr>
          <w:rFonts w:ascii="Times New Roman" w:hAnsi="Times New Roman"/>
        </w:rPr>
      </w:pPr>
      <w:r>
        <w:rPr>
          <w:rFonts w:ascii="Times New Roman" w:hAnsi="Times New Roman"/>
        </w:rPr>
        <w:t>June 1, 2012</w:t>
      </w:r>
    </w:p>
    <w:p w:rsidR="00180F70" w:rsidRPr="009674D2" w:rsidRDefault="00180F70">
      <w:pPr>
        <w:rPr>
          <w:rFonts w:ascii="Times New Roman" w:hAnsi="Times New Roman"/>
          <w:b/>
        </w:rPr>
      </w:pPr>
    </w:p>
    <w:p w:rsidR="00180F70" w:rsidRPr="009674D2" w:rsidRDefault="00180F70">
      <w:pPr>
        <w:rPr>
          <w:rFonts w:ascii="Times New Roman" w:hAnsi="Times New Roman"/>
          <w:b/>
        </w:rPr>
      </w:pPr>
      <w:r>
        <w:rPr>
          <w:rFonts w:ascii="Times New Roman" w:hAnsi="Times New Roman"/>
          <w:b/>
        </w:rPr>
        <w:br w:type="page"/>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What is OA and why does its prevalence increase with age?</w:t>
      </w:r>
    </w:p>
    <w:p w:rsidR="00180F70" w:rsidRPr="00DD4DE8" w:rsidRDefault="00180F70" w:rsidP="00A802B5">
      <w:pPr>
        <w:spacing w:line="480" w:lineRule="auto"/>
        <w:rPr>
          <w:rFonts w:ascii="Times New Roman" w:hAnsi="Times New Roman"/>
        </w:rPr>
      </w:pPr>
      <w:r w:rsidRPr="00DD4DE8">
        <w:rPr>
          <w:rFonts w:ascii="Times New Roman" w:hAnsi="Times New Roman"/>
        </w:rPr>
        <w:t>Osteoarthritis is a degenerative bone disease and is the most prevalent type of bone disease. It is often referred to as “wear-and-tear” arthritis. There is a gradual loss of articular cartilage, bony growths at the joint margins and mild synovial inflammation. This is accompanied by joint pain, stiffness, limited mobility, and in some cases joint instability and deformity. Repetitive joint impact loading leads to joint failure with this disease. Sometimes it is caused by immobility which causes joint degeneration. (Porth, 2011, p. 1148)</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What risk factors for developing OA does Ms. McConnell have?</w:t>
      </w:r>
    </w:p>
    <w:p w:rsidR="00180F70" w:rsidRPr="00DD4DE8" w:rsidRDefault="00180F70" w:rsidP="00A802B5">
      <w:pPr>
        <w:spacing w:line="480" w:lineRule="auto"/>
        <w:rPr>
          <w:rFonts w:ascii="Times New Roman" w:hAnsi="Times New Roman"/>
        </w:rPr>
      </w:pPr>
      <w:r w:rsidRPr="00DD4DE8">
        <w:rPr>
          <w:rFonts w:ascii="Times New Roman" w:hAnsi="Times New Roman"/>
        </w:rPr>
        <w:t xml:space="preserve">Women are more likely than men to have OA and they tend to have more severe OA. Obesity is a risk factor partially because of a higher fat content and partially because more weight on the joints cause them to deteriorate more quickly. OA is shown to have a genetic component and run in families so having immediate relatives with OA is a risk factor. The number one risk factor for OA is age. Caucasian women are also at a higher risk of developing OA in the hands. (Porth, 2011, p. 1150). For Ms. McConnell, she was an avid skier until she had a knee injury in her twenties. This repetitive weight-loading activity, as well as her injury caused degeneration of the cartilage in her knee. </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Which joints are most commonly affected by OA?</w:t>
      </w:r>
    </w:p>
    <w:p w:rsidR="00180F70" w:rsidRPr="00DD4DE8" w:rsidRDefault="00180F70" w:rsidP="00A802B5">
      <w:pPr>
        <w:spacing w:line="480" w:lineRule="auto"/>
        <w:rPr>
          <w:rFonts w:ascii="Times New Roman" w:hAnsi="Times New Roman"/>
        </w:rPr>
      </w:pPr>
      <w:r w:rsidRPr="00DD4DE8">
        <w:rPr>
          <w:rFonts w:ascii="Times New Roman" w:hAnsi="Times New Roman"/>
        </w:rPr>
        <w:t>Weight bearing joints such as the hips, knees, lumbar and cervical vertebrae as well as frequently used joints such as those in the hands and fingers are the most commonly affected joints.</w:t>
      </w:r>
      <w:r>
        <w:rPr>
          <w:rFonts w:ascii="Times New Roman" w:hAnsi="Times New Roman"/>
        </w:rPr>
        <w:t xml:space="preserve"> (Porth, 2011, p. 1149)</w:t>
      </w:r>
      <w:r w:rsidRPr="00DD4DE8">
        <w:rPr>
          <w:rFonts w:ascii="Times New Roman" w:hAnsi="Times New Roman"/>
        </w:rPr>
        <w:t xml:space="preserve">  </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What physical exam findings should Cynthia expect to see in Ms. McConnell’s right knee and hands?</w:t>
      </w:r>
    </w:p>
    <w:p w:rsidR="00180F70" w:rsidRPr="00DD4DE8" w:rsidRDefault="00180F70" w:rsidP="00A802B5">
      <w:pPr>
        <w:spacing w:line="480" w:lineRule="auto"/>
        <w:rPr>
          <w:rFonts w:ascii="Times New Roman" w:hAnsi="Times New Roman"/>
        </w:rPr>
      </w:pPr>
      <w:r w:rsidRPr="00DD4DE8">
        <w:rPr>
          <w:rFonts w:ascii="Times New Roman" w:hAnsi="Times New Roman"/>
        </w:rPr>
        <w:t xml:space="preserve">Cynthia should expect to see inflammation, aching joint pain, sclerosis, and joint mice. Sclerosis is the formation of new bone and cysts occurring in the joint margins forming growths or “spurs.” “Joint mice” are fragments of cartilage or bone that become dislodged and freely float in the joint. </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 xml:space="preserve">Cynthia needs to calculate Ms. McConnell’s glomerular filtration rate (GFR) so that she can help her to understand her physician’s rationale in stopping the ibuprofen. Use the online GFR calculator found at </w:t>
      </w:r>
      <w:hyperlink r:id="rId7" w:history="1">
        <w:r w:rsidRPr="00DD4DE8">
          <w:rPr>
            <w:rStyle w:val="Hyperlink"/>
            <w:rFonts w:ascii="Times New Roman" w:hAnsi="Times New Roman"/>
            <w:b/>
            <w:i/>
          </w:rPr>
          <w:t>http://nephron.com/cgi-bin/CGSI.cgi</w:t>
        </w:r>
      </w:hyperlink>
      <w:r w:rsidRPr="00DD4DE8">
        <w:rPr>
          <w:rFonts w:ascii="Times New Roman" w:hAnsi="Times New Roman"/>
          <w:b/>
          <w:i/>
        </w:rPr>
        <w:t xml:space="preserve"> to calculate Ms. McConnell’s GFR with the Cockcroft Gault formula. </w:t>
      </w:r>
    </w:p>
    <w:p w:rsidR="00180F70" w:rsidRPr="00DD4DE8" w:rsidRDefault="00180F70" w:rsidP="00A802B5">
      <w:pPr>
        <w:numPr>
          <w:ilvl w:val="1"/>
          <w:numId w:val="4"/>
        </w:numPr>
        <w:spacing w:after="0" w:line="480" w:lineRule="auto"/>
        <w:ind w:left="0" w:firstLine="0"/>
        <w:rPr>
          <w:rFonts w:ascii="Times New Roman" w:hAnsi="Times New Roman"/>
          <w:b/>
          <w:i/>
        </w:rPr>
      </w:pPr>
      <w:r w:rsidRPr="00DD4DE8">
        <w:rPr>
          <w:rFonts w:ascii="Times New Roman" w:hAnsi="Times New Roman"/>
          <w:b/>
          <w:i/>
        </w:rPr>
        <w:t>What is her GFR?</w:t>
      </w:r>
    </w:p>
    <w:p w:rsidR="00180F70" w:rsidRPr="00DD4DE8" w:rsidRDefault="00180F70" w:rsidP="00A802B5">
      <w:pPr>
        <w:spacing w:line="480" w:lineRule="auto"/>
        <w:rPr>
          <w:rFonts w:ascii="Times New Roman" w:hAnsi="Times New Roman"/>
        </w:rPr>
      </w:pPr>
      <w:r w:rsidRPr="00DD4DE8">
        <w:rPr>
          <w:rFonts w:ascii="Times New Roman" w:hAnsi="Times New Roman"/>
        </w:rPr>
        <w:t xml:space="preserve">With 1.4 creatine, 210 lbs, </w:t>
      </w:r>
      <w:r>
        <w:rPr>
          <w:rFonts w:ascii="Times New Roman" w:hAnsi="Times New Roman"/>
        </w:rPr>
        <w:t xml:space="preserve">and at </w:t>
      </w:r>
      <w:r w:rsidRPr="00DD4DE8">
        <w:rPr>
          <w:rFonts w:ascii="Times New Roman" w:hAnsi="Times New Roman"/>
        </w:rPr>
        <w:t xml:space="preserve">85 </w:t>
      </w:r>
      <w:r>
        <w:rPr>
          <w:rFonts w:ascii="Times New Roman" w:hAnsi="Times New Roman"/>
        </w:rPr>
        <w:t xml:space="preserve">her </w:t>
      </w:r>
      <w:r w:rsidRPr="00DD4DE8">
        <w:rPr>
          <w:rFonts w:ascii="Times New Roman" w:hAnsi="Times New Roman"/>
        </w:rPr>
        <w:t xml:space="preserve">GFR is 38. </w:t>
      </w:r>
      <w:r>
        <w:rPr>
          <w:rFonts w:ascii="Times New Roman" w:hAnsi="Times New Roman"/>
        </w:rPr>
        <w:t>(Zedem, 2012)</w:t>
      </w:r>
    </w:p>
    <w:p w:rsidR="00180F70" w:rsidRPr="00DD4DE8" w:rsidRDefault="00180F70" w:rsidP="00A802B5">
      <w:pPr>
        <w:numPr>
          <w:ilvl w:val="1"/>
          <w:numId w:val="4"/>
        </w:numPr>
        <w:spacing w:after="0" w:line="480" w:lineRule="auto"/>
        <w:ind w:left="0" w:firstLine="0"/>
        <w:rPr>
          <w:rFonts w:ascii="Times New Roman" w:hAnsi="Times New Roman"/>
          <w:b/>
          <w:i/>
        </w:rPr>
      </w:pPr>
      <w:r w:rsidRPr="00DD4DE8">
        <w:rPr>
          <w:rFonts w:ascii="Times New Roman" w:hAnsi="Times New Roman"/>
          <w:b/>
          <w:i/>
        </w:rPr>
        <w:t>With which stage of kidney disease does GFR correspond?</w:t>
      </w:r>
    </w:p>
    <w:p w:rsidR="00180F70" w:rsidRPr="00DD4DE8" w:rsidRDefault="00180F70" w:rsidP="00A802B5">
      <w:pPr>
        <w:spacing w:line="480" w:lineRule="auto"/>
        <w:rPr>
          <w:rFonts w:ascii="Times New Roman" w:hAnsi="Times New Roman"/>
        </w:rPr>
      </w:pPr>
      <w:r>
        <w:rPr>
          <w:rFonts w:ascii="Times New Roman" w:hAnsi="Times New Roman"/>
        </w:rPr>
        <w:t>According to Porth (2011), “chronic kidney disease or stage 3 kidney disease is defined as either kidney damage or a GFR of 30-59 mL/min” (p. 646).</w:t>
      </w:r>
    </w:p>
    <w:p w:rsidR="00180F70" w:rsidRPr="00DD4DE8" w:rsidRDefault="00180F70" w:rsidP="00A802B5">
      <w:pPr>
        <w:numPr>
          <w:ilvl w:val="1"/>
          <w:numId w:val="4"/>
        </w:numPr>
        <w:spacing w:after="0" w:line="480" w:lineRule="auto"/>
        <w:ind w:left="0" w:firstLine="0"/>
        <w:rPr>
          <w:rFonts w:ascii="Times New Roman" w:hAnsi="Times New Roman"/>
          <w:b/>
          <w:i/>
        </w:rPr>
      </w:pPr>
      <w:r w:rsidRPr="00DD4DE8">
        <w:rPr>
          <w:rFonts w:ascii="Times New Roman" w:hAnsi="Times New Roman"/>
          <w:b/>
          <w:i/>
        </w:rPr>
        <w:t>What factors, in Ms. McConnell’s history, put her at risk for NSAID-related renal disease?</w:t>
      </w:r>
    </w:p>
    <w:p w:rsidR="00180F70" w:rsidRPr="00DD4DE8" w:rsidRDefault="00180F70" w:rsidP="00A802B5">
      <w:pPr>
        <w:spacing w:line="480" w:lineRule="auto"/>
        <w:rPr>
          <w:rFonts w:ascii="Times New Roman" w:hAnsi="Times New Roman"/>
        </w:rPr>
      </w:pPr>
      <w:r>
        <w:rPr>
          <w:rFonts w:ascii="Times New Roman" w:hAnsi="Times New Roman"/>
        </w:rPr>
        <w:t>“A typical dose for the treatment of OA is 300-600 mg 3 or 4 times a day not exceeding 2400 mg per day” (Abrams, Pennington, &amp; Lammon, 2009, p. 107).  The fact that she has taken the highest possible dose</w:t>
      </w:r>
      <w:r w:rsidRPr="00DD4DE8">
        <w:rPr>
          <w:rFonts w:ascii="Times New Roman" w:hAnsi="Times New Roman"/>
        </w:rPr>
        <w:t xml:space="preserve"> of ibuprofen for an extended period of </w:t>
      </w:r>
      <w:r>
        <w:rPr>
          <w:rFonts w:ascii="Times New Roman" w:hAnsi="Times New Roman"/>
        </w:rPr>
        <w:t xml:space="preserve">time, over four years, </w:t>
      </w:r>
      <w:r w:rsidRPr="00DD4DE8">
        <w:rPr>
          <w:rFonts w:ascii="Times New Roman" w:hAnsi="Times New Roman"/>
        </w:rPr>
        <w:t>increased her risk for NSAID-related renal disease.</w:t>
      </w:r>
      <w:r>
        <w:rPr>
          <w:rFonts w:ascii="Times New Roman" w:hAnsi="Times New Roman"/>
        </w:rPr>
        <w:t xml:space="preserve"> “NSAIDs can cause renal impairment because in overdoses-or extremely high doses, it forms a metabolite that attacks kidney cells and may cause necrosis of the kidney. They can also decrease renal blood flow to the kidneys by inhibiting synthesis of prostaglandins that dilate renal blood vessels” (Abrams et. al., 2009, p. 124). </w:t>
      </w:r>
      <w:r w:rsidRPr="00DD4DE8">
        <w:rPr>
          <w:rFonts w:ascii="Times New Roman" w:hAnsi="Times New Roman"/>
        </w:rPr>
        <w:t xml:space="preserve"> </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Why is Ms. McConnell’s physician worried about gastrointestinal bleeding?</w:t>
      </w:r>
    </w:p>
    <w:p w:rsidR="00180F70" w:rsidRPr="00DD4DE8" w:rsidRDefault="00180F70" w:rsidP="00A802B5">
      <w:pPr>
        <w:spacing w:line="480" w:lineRule="auto"/>
        <w:rPr>
          <w:rFonts w:ascii="Times New Roman" w:hAnsi="Times New Roman"/>
        </w:rPr>
      </w:pPr>
      <w:r>
        <w:rPr>
          <w:rFonts w:ascii="Times New Roman" w:hAnsi="Times New Roman"/>
        </w:rPr>
        <w:t>“GI adverse events include bleeding, ulceration, and perforation of the stomach and intestines with use of non-selective NSAIDS” (Abrams et. al., 2009, p. 105). Essentially,</w:t>
      </w:r>
      <w:r w:rsidRPr="00DD4DE8">
        <w:rPr>
          <w:rFonts w:ascii="Times New Roman" w:hAnsi="Times New Roman"/>
        </w:rPr>
        <w:t xml:space="preserve"> NSAIDs increase the body’s secretion of acid in the stomach. This increased acidity causes stomach upset, sour stomach, and ultimately leads to ulcers-or places where the acid has burned through the stomach lining. When this gets bad enough it can eventually lead to complete perforation through the stomach and stomach contents, particularly stomach acid, can leak into other parts of the body. This is the main concern of gastrointestinal bleeding. The bleeding is a sign of tissue damage and if that damage gets bad enough it can lead to things like hemorrhage, infection, sepsis, shock, and eventual death. </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 xml:space="preserve">Ms. McConnell is concerned about pain management without ibuprofen. What nonpharmacologic treatments can Cynthia suggest? Use the following evidence based guideline from the American College of Rheumatology to help you formulate your treatment plan. </w:t>
      </w:r>
      <w:hyperlink r:id="rId8" w:history="1">
        <w:r w:rsidRPr="00DD4DE8">
          <w:rPr>
            <w:rStyle w:val="Hyperlink"/>
            <w:rFonts w:ascii="Times New Roman" w:hAnsi="Times New Roman"/>
            <w:b/>
            <w:i/>
          </w:rPr>
          <w:t>http://www.rheumatology.org/practice/clinical/guidelines/oa-mgmt.asp</w:t>
        </w:r>
      </w:hyperlink>
    </w:p>
    <w:p w:rsidR="00180F70" w:rsidRPr="00DD4DE8" w:rsidRDefault="00180F70" w:rsidP="00A802B5">
      <w:pPr>
        <w:spacing w:line="480" w:lineRule="auto"/>
        <w:rPr>
          <w:rFonts w:ascii="Times New Roman" w:hAnsi="Times New Roman"/>
        </w:rPr>
      </w:pPr>
      <w:r w:rsidRPr="00DD4DE8">
        <w:rPr>
          <w:rFonts w:ascii="Times New Roman" w:hAnsi="Times New Roman"/>
        </w:rPr>
        <w:t xml:space="preserve">Nonpharmacologic treatments for pain include hypnotic therapy, music therapy, relaxation techniques; application of heat/cold is particularly helpful in patients with joint pain. She could also apply topical ointments that don’t affect the internal body chemistry but soothe the nerves from the outside-like Bengay. </w:t>
      </w:r>
      <w:r>
        <w:rPr>
          <w:rFonts w:ascii="Times New Roman" w:hAnsi="Times New Roman"/>
        </w:rPr>
        <w:t>According to the American College of Rheumatology (2000), the best forms of nonpharmacological treatments are p</w:t>
      </w:r>
      <w:r w:rsidRPr="0083233D">
        <w:rPr>
          <w:rFonts w:ascii="Times New Roman" w:hAnsi="Times New Roman"/>
        </w:rPr>
        <w:t>atient education</w:t>
      </w:r>
      <w:r>
        <w:rPr>
          <w:rFonts w:ascii="Times New Roman" w:hAnsi="Times New Roman"/>
        </w:rPr>
        <w:t xml:space="preserve"> (</w:t>
      </w:r>
      <w:r w:rsidRPr="0083233D">
        <w:rPr>
          <w:rFonts w:ascii="Times New Roman" w:hAnsi="Times New Roman"/>
        </w:rPr>
        <w:t>being aware of the disease and disease process</w:t>
      </w:r>
      <w:r>
        <w:rPr>
          <w:rFonts w:ascii="Times New Roman" w:hAnsi="Times New Roman"/>
        </w:rPr>
        <w:t>)</w:t>
      </w:r>
      <w:r w:rsidRPr="0083233D">
        <w:rPr>
          <w:rFonts w:ascii="Times New Roman" w:hAnsi="Times New Roman"/>
        </w:rPr>
        <w:t xml:space="preserve">, self-management programs (e.g., Arthritis Foundation Self-Management Program) , personalized social support through telephone contact, weight loss (if overweight), aerobic exercise programs, physical therapy Range-of-motion exercises, muscle-strengthening exercises, assistive devices for ambulation, patellar taping, wearing appropriate footwear, lateral-wedged insoles (for genu varum) bracing, occupational therapy, joint protection and energy conservation, and using assistive devices for activities of daily living. </w:t>
      </w:r>
    </w:p>
    <w:p w:rsidR="00180F70"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Ms. McConnell asks what the Arthritis Foundation Self-Help program is all about and what the program time commitment will be. How should Cynthia respond?</w:t>
      </w:r>
    </w:p>
    <w:p w:rsidR="00180F70" w:rsidRPr="00DD4DE8" w:rsidRDefault="00180F70" w:rsidP="00A802B5">
      <w:pPr>
        <w:spacing w:line="480" w:lineRule="auto"/>
        <w:rPr>
          <w:rFonts w:ascii="Times New Roman" w:hAnsi="Times New Roman"/>
        </w:rPr>
      </w:pPr>
      <w:r>
        <w:rPr>
          <w:rFonts w:ascii="Times New Roman" w:hAnsi="Times New Roman"/>
        </w:rPr>
        <w:t>The Arthritis Foundation Self-Help program is</w:t>
      </w:r>
      <w:r w:rsidRPr="0083233D">
        <w:rPr>
          <w:rFonts w:ascii="Times New Roman" w:hAnsi="Times New Roman"/>
        </w:rPr>
        <w:t xml:space="preserve"> a group health education program designed specifically for people with arthritis and related diseases</w:t>
      </w:r>
      <w:r>
        <w:rPr>
          <w:rFonts w:ascii="Times New Roman" w:hAnsi="Times New Roman"/>
        </w:rPr>
        <w:t xml:space="preserve">. </w:t>
      </w:r>
      <w:r w:rsidRPr="0083233D">
        <w:rPr>
          <w:rFonts w:ascii="Times New Roman" w:hAnsi="Times New Roman"/>
        </w:rPr>
        <w:t>Up to 20 individuals may participate in the</w:t>
      </w:r>
      <w:r>
        <w:rPr>
          <w:rFonts w:ascii="Times New Roman" w:hAnsi="Times New Roman"/>
        </w:rPr>
        <w:t xml:space="preserve"> </w:t>
      </w:r>
      <w:r w:rsidRPr="0083233D">
        <w:rPr>
          <w:rFonts w:ascii="Times New Roman" w:hAnsi="Times New Roman"/>
        </w:rPr>
        <w:t>course. Course sessions of two hours in length meet once each week for six weeks</w:t>
      </w:r>
      <w:r>
        <w:rPr>
          <w:rFonts w:ascii="Times New Roman" w:hAnsi="Times New Roman"/>
        </w:rPr>
        <w:t>. (Arthritis Foundation Self-Help 2012)</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What pharmacological strategies can be used to supplement the nonpharmacologic techniques that Ms. McConnell will use?</w:t>
      </w:r>
    </w:p>
    <w:p w:rsidR="00180F70" w:rsidRPr="00DD4DE8" w:rsidRDefault="00180F70" w:rsidP="00A802B5">
      <w:pPr>
        <w:spacing w:line="480" w:lineRule="auto"/>
        <w:rPr>
          <w:rFonts w:ascii="Times New Roman" w:hAnsi="Times New Roman"/>
        </w:rPr>
      </w:pPr>
      <w:r w:rsidRPr="00DD4DE8">
        <w:rPr>
          <w:rFonts w:ascii="Times New Roman" w:hAnsi="Times New Roman"/>
        </w:rPr>
        <w:t xml:space="preserve">Soothing ointments have shown to be effective in the management of joint pain; things like icy-hot, bengay, etc. </w:t>
      </w:r>
      <w:r>
        <w:rPr>
          <w:rFonts w:ascii="Times New Roman" w:hAnsi="Times New Roman"/>
        </w:rPr>
        <w:t xml:space="preserve">According to Abrams et. al., (2009), “additional treatments for knee OA include topical capsaicin, oral chondroitin/glucosamine, and intra-articular injections of corticosteroids or hyaluronic acid” (p. 122). </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Ms. McConnell tells Cynthia that her friends have advised her to buy Glucosamine/chondroitin. What should Cynthia tell Ms. McConnell about the therapeutic effectiveness and side effects associated with glucosamine/chondroitin?</w:t>
      </w:r>
    </w:p>
    <w:p w:rsidR="00180F70" w:rsidRPr="00DD4DE8" w:rsidRDefault="00180F70" w:rsidP="00A802B5">
      <w:pPr>
        <w:spacing w:line="480" w:lineRule="auto"/>
        <w:rPr>
          <w:rFonts w:ascii="Times New Roman" w:hAnsi="Times New Roman"/>
        </w:rPr>
      </w:pPr>
      <w:r>
        <w:rPr>
          <w:rFonts w:ascii="Times New Roman" w:hAnsi="Times New Roman"/>
        </w:rPr>
        <w:t xml:space="preserve">“Chondroitin sulfate is a supplement extracted from animal cartilage and used to treat arthritis by delaying the breakdown of joint cartilage, stimulating new cartilage growth, and promoting the shock-absorbing quality of cartilage. Glucosamine works to lubricate the joint. In 2003 a meta-analysis of 15 high-quality, randomized, double blind controlled trials comparing glucosamine/chondroitin to placebos showed that glucosamine/chondroitin greatly improved joint mobility in patients with OA” (Abrams et. al., 2009, p. 117). </w:t>
      </w:r>
      <w:r w:rsidRPr="00DD4DE8">
        <w:rPr>
          <w:rFonts w:ascii="Times New Roman" w:hAnsi="Times New Roman"/>
        </w:rPr>
        <w:t xml:space="preserve">Although there have been studies showing that glucosamine/chondroitin is effective in management of joint pain, there have also been studies concluding that it has no effectiveness against bone pain. Also, with herbal remedies like glucosamine/chondroitin, they are not managed by the FDA so amounts of the active drug vary, and the parts of the plant used for treatment vary from brand to brand as well as within a brand, bottle to bottle. Another thing to consider when deciding whether to take glucosamine chondroitin or not is the side effects of this medication. </w:t>
      </w:r>
    </w:p>
    <w:p w:rsidR="00180F70" w:rsidRPr="00DD4DE8" w:rsidRDefault="00180F70" w:rsidP="00A802B5">
      <w:pPr>
        <w:spacing w:line="480" w:lineRule="auto"/>
        <w:ind w:firstLine="720"/>
        <w:rPr>
          <w:rFonts w:ascii="Times New Roman" w:hAnsi="Times New Roman"/>
        </w:rPr>
      </w:pPr>
    </w:p>
    <w:p w:rsidR="00180F70" w:rsidRPr="009674D2" w:rsidRDefault="00180F70" w:rsidP="00A802B5">
      <w:pPr>
        <w:spacing w:line="480" w:lineRule="auto"/>
        <w:ind w:left="-720" w:firstLine="720"/>
        <w:contextualSpacing/>
        <w:jc w:val="center"/>
        <w:rPr>
          <w:rFonts w:ascii="Times New Roman" w:hAnsi="Times New Roman"/>
        </w:rPr>
      </w:pPr>
      <w:r w:rsidRPr="00DD4DE8">
        <w:rPr>
          <w:rFonts w:ascii="Times New Roman" w:hAnsi="Times New Roman"/>
        </w:rPr>
        <w:br w:type="page"/>
      </w:r>
      <w:r w:rsidRPr="009674D2">
        <w:rPr>
          <w:rFonts w:ascii="Times New Roman" w:hAnsi="Times New Roman"/>
        </w:rPr>
        <w:t>References</w:t>
      </w:r>
    </w:p>
    <w:p w:rsidR="00180F70" w:rsidRDefault="00180F70" w:rsidP="00A802B5">
      <w:pPr>
        <w:spacing w:line="480" w:lineRule="auto"/>
        <w:ind w:left="720" w:hanging="720"/>
        <w:rPr>
          <w:rFonts w:ascii="Times New Roman" w:hAnsi="Times New Roman"/>
        </w:rPr>
      </w:pPr>
      <w:r>
        <w:rPr>
          <w:rFonts w:ascii="Times New Roman" w:hAnsi="Times New Roman"/>
        </w:rPr>
        <w:t xml:space="preserve">Abrams, A. C., Pennington, S. S., &amp; Lammon, C. B., (2009). Analgesic-antipyretic-anti-inflammatory and related drugs. In H. Surrena’s (9) </w:t>
      </w:r>
      <w:r w:rsidRPr="000711B2">
        <w:rPr>
          <w:rFonts w:ascii="Times New Roman" w:hAnsi="Times New Roman"/>
          <w:i/>
        </w:rPr>
        <w:t>Clinical Drug Therapy Rationales for Nursing Practice</w:t>
      </w:r>
      <w:r>
        <w:rPr>
          <w:rFonts w:ascii="Times New Roman" w:hAnsi="Times New Roman"/>
        </w:rPr>
        <w:t>. Philadelphia, PA: Wolters Kluwer/Lippincott Williams &amp; Wilkins, (pp. 100-127).</w:t>
      </w:r>
    </w:p>
    <w:p w:rsidR="00180F70" w:rsidRDefault="00180F70" w:rsidP="00A802B5">
      <w:pPr>
        <w:spacing w:line="480" w:lineRule="auto"/>
        <w:ind w:left="720" w:hanging="720"/>
        <w:rPr>
          <w:rFonts w:ascii="Times New Roman" w:hAnsi="Times New Roman"/>
          <w:b/>
          <w:i/>
        </w:rPr>
      </w:pPr>
      <w:r>
        <w:rPr>
          <w:rFonts w:ascii="Times New Roman" w:hAnsi="Times New Roman"/>
        </w:rPr>
        <w:t xml:space="preserve">American College of Rheumatology (2000). Retrieved from: </w:t>
      </w:r>
      <w:hyperlink r:id="rId9" w:history="1">
        <w:r w:rsidRPr="00DD4DE8">
          <w:rPr>
            <w:rStyle w:val="Hyperlink"/>
            <w:rFonts w:ascii="Times New Roman" w:hAnsi="Times New Roman"/>
            <w:b/>
            <w:i/>
          </w:rPr>
          <w:t>http://www.rheumatology.org/practice/clinical/guidelines/oa-mgmt.asp</w:t>
        </w:r>
      </w:hyperlink>
      <w:r>
        <w:rPr>
          <w:rFonts w:ascii="Times New Roman" w:hAnsi="Times New Roman"/>
          <w:b/>
          <w:i/>
        </w:rPr>
        <w:t>.</w:t>
      </w:r>
    </w:p>
    <w:p w:rsidR="00180F70" w:rsidRDefault="00180F70" w:rsidP="00A802B5">
      <w:pPr>
        <w:spacing w:line="480" w:lineRule="auto"/>
        <w:ind w:left="720" w:hanging="720"/>
        <w:rPr>
          <w:rFonts w:ascii="Times New Roman" w:hAnsi="Times New Roman"/>
        </w:rPr>
      </w:pPr>
      <w:r w:rsidRPr="0083233D">
        <w:rPr>
          <w:rFonts w:ascii="Times New Roman" w:hAnsi="Times New Roman"/>
        </w:rPr>
        <w:t xml:space="preserve">Arthritis Foundation Self-Help Program (2012). Retrieved from: </w:t>
      </w:r>
      <w:hyperlink r:id="rId10" w:history="1">
        <w:r w:rsidRPr="0083233D">
          <w:t>http://www.arthritis.org/media/chapters/mic/New%20Site%20Sample%20Forms/Starter%20Kit%20-%20AFSHP%20Site%20Sample.pdf</w:t>
        </w:r>
      </w:hyperlink>
      <w:r w:rsidRPr="0083233D">
        <w:rPr>
          <w:rFonts w:ascii="Times New Roman" w:hAnsi="Times New Roman"/>
        </w:rPr>
        <w:t xml:space="preserve">. </w:t>
      </w:r>
    </w:p>
    <w:p w:rsidR="00180F70" w:rsidRDefault="00180F70" w:rsidP="00A802B5">
      <w:pPr>
        <w:spacing w:line="480" w:lineRule="auto"/>
        <w:ind w:left="720" w:hanging="720"/>
        <w:rPr>
          <w:rFonts w:ascii="Times New Roman" w:hAnsi="Times New Roman"/>
        </w:rPr>
      </w:pPr>
      <w:r w:rsidRPr="003276B2">
        <w:rPr>
          <w:rFonts w:ascii="Times New Roman" w:hAnsi="Times New Roman"/>
        </w:rPr>
        <w:t xml:space="preserve">Fadem, S. Z. (2012). Cockcroft Gault glomerular filtration rate calculator. Retrieved from: </w:t>
      </w:r>
      <w:hyperlink r:id="rId11" w:history="1">
        <w:r w:rsidRPr="003276B2">
          <w:t>http://nephron.com/cgi-bin/CGSI.cgi</w:t>
        </w:r>
      </w:hyperlink>
    </w:p>
    <w:p w:rsidR="00180F70" w:rsidRDefault="00180F70" w:rsidP="00EF52EB">
      <w:pPr>
        <w:spacing w:line="480" w:lineRule="auto"/>
        <w:ind w:left="720" w:hanging="720"/>
        <w:rPr>
          <w:rFonts w:ascii="Times New Roman" w:hAnsi="Times New Roman"/>
        </w:rPr>
      </w:pPr>
      <w:r>
        <w:rPr>
          <w:rFonts w:ascii="Times New Roman" w:hAnsi="Times New Roman"/>
        </w:rPr>
        <w:t xml:space="preserve">Porth, C. M., (2011). Disorders of the skeletal system: metabolic rheumatic disorders. In H. Surrena’s (3) </w:t>
      </w:r>
      <w:r w:rsidRPr="000711B2">
        <w:rPr>
          <w:rFonts w:ascii="Times New Roman" w:hAnsi="Times New Roman"/>
          <w:i/>
        </w:rPr>
        <w:t>Essentials of Pathophysiology</w:t>
      </w:r>
      <w:r>
        <w:rPr>
          <w:rFonts w:ascii="Times New Roman" w:hAnsi="Times New Roman"/>
        </w:rPr>
        <w:t>. PA: Wolters Kluwer/Lippincott Williams &amp; Wilkins, (pp. 1147-1151).</w:t>
      </w:r>
    </w:p>
    <w:p w:rsidR="00180F70" w:rsidRPr="00EF52EB" w:rsidRDefault="00180F70" w:rsidP="00EF52EB">
      <w:pPr>
        <w:spacing w:line="480" w:lineRule="auto"/>
        <w:ind w:left="720" w:hanging="720"/>
        <w:rPr>
          <w:rFonts w:ascii="Times New Roman" w:hAnsi="Times New Roman"/>
        </w:rPr>
      </w:pPr>
    </w:p>
    <w:p w:rsidR="00180F70" w:rsidRPr="00526DA5" w:rsidRDefault="00180F70" w:rsidP="00526DA5">
      <w:pPr>
        <w:spacing w:line="480" w:lineRule="auto"/>
        <w:ind w:left="720" w:hanging="720"/>
        <w:rPr>
          <w:rFonts w:ascii="Times New Roman" w:hAnsi="Times New Roman"/>
        </w:rPr>
      </w:pPr>
    </w:p>
    <w:p w:rsidR="00180F70" w:rsidRPr="00011EE9" w:rsidRDefault="00180F70" w:rsidP="00EF089F">
      <w:pPr>
        <w:spacing w:line="480" w:lineRule="auto"/>
        <w:ind w:left="720" w:hanging="720"/>
        <w:rPr>
          <w:rFonts w:ascii="Times New Roman" w:hAnsi="Times New Roman" w:cs="Verdana"/>
        </w:rPr>
      </w:pPr>
    </w:p>
    <w:p w:rsidR="00180F70" w:rsidRPr="00871B0F" w:rsidRDefault="00180F70" w:rsidP="00871B0F">
      <w:pPr>
        <w:spacing w:line="480" w:lineRule="auto"/>
        <w:ind w:left="720" w:hanging="720"/>
        <w:rPr>
          <w:rFonts w:ascii="Times New Roman" w:hAnsi="Times New Roman" w:cs="Verdana"/>
        </w:rPr>
      </w:pPr>
    </w:p>
    <w:p w:rsidR="00180F70" w:rsidRPr="009674D2" w:rsidRDefault="00180F70" w:rsidP="00883ACE">
      <w:pPr>
        <w:spacing w:line="480" w:lineRule="auto"/>
        <w:ind w:left="720" w:hanging="720"/>
        <w:rPr>
          <w:rFonts w:ascii="Times New Roman" w:hAnsi="Times New Roman"/>
        </w:rPr>
      </w:pPr>
    </w:p>
    <w:sectPr w:rsidR="00180F70" w:rsidRPr="009674D2" w:rsidSect="00033103">
      <w:headerReference w:type="even" r:id="rId12"/>
      <w:headerReference w:type="default" r:id="rId13"/>
      <w:headerReference w:type="first" r:id="rId14"/>
      <w:pgSz w:w="12240" w:h="15840"/>
      <w:pgMar w:top="1440" w:right="1440" w:bottom="1440" w:left="1440" w:header="720" w:footer="0" w:gutter="0"/>
      <w:pgNumType w:chapStyle="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F70" w:rsidRDefault="00180F70">
      <w:pPr>
        <w:spacing w:after="0"/>
      </w:pPr>
      <w:r>
        <w:separator/>
      </w:r>
    </w:p>
  </w:endnote>
  <w:endnote w:type="continuationSeparator" w:id="0">
    <w:p w:rsidR="00180F70" w:rsidRDefault="00180F7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s=”©?˜È"/>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F70" w:rsidRDefault="00180F70">
      <w:pPr>
        <w:spacing w:after="0"/>
      </w:pPr>
      <w:r>
        <w:separator/>
      </w:r>
    </w:p>
  </w:footnote>
  <w:footnote w:type="continuationSeparator" w:id="0">
    <w:p w:rsidR="00180F70" w:rsidRDefault="00180F7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F70" w:rsidRDefault="00180F70" w:rsidP="00760C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0F70" w:rsidRDefault="00180F70" w:rsidP="00760CF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F70" w:rsidRDefault="00180F70" w:rsidP="00357FA9">
    <w:pPr>
      <w:pStyle w:val="Header"/>
      <w:framePr w:w="9701" w:wrap="around" w:vAnchor="text" w:hAnchor="page" w:x="1441" w:y="361"/>
      <w:ind w:right="360"/>
      <w:rPr>
        <w:rStyle w:val="PageNumber"/>
      </w:rPr>
    </w:pPr>
    <w:r>
      <w:rPr>
        <w:rStyle w:val="PageNumber"/>
      </w:rPr>
      <w:t xml:space="preserve">CASE STUDY 9.1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80F70" w:rsidRDefault="00180F70" w:rsidP="00760CF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F70" w:rsidRDefault="00180F70">
    <w:pPr>
      <w:pStyle w:val="Header"/>
    </w:pPr>
    <w:r>
      <w:t>Running head: CASE STUDY 9.1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4140C"/>
    <w:multiLevelType w:val="hybridMultilevel"/>
    <w:tmpl w:val="B56EB78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E841885"/>
    <w:multiLevelType w:val="hybridMultilevel"/>
    <w:tmpl w:val="730CEF48"/>
    <w:lvl w:ilvl="0" w:tplc="5A38AA72">
      <w:start w:val="1"/>
      <w:numFmt w:val="decimal"/>
      <w:lvlText w:val="%1."/>
      <w:lvlJc w:val="left"/>
      <w:pPr>
        <w:ind w:left="1680" w:hanging="9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5891510"/>
    <w:multiLevelType w:val="hybridMultilevel"/>
    <w:tmpl w:val="95C417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77D36AC"/>
    <w:multiLevelType w:val="hybridMultilevel"/>
    <w:tmpl w:val="4C34D3DA"/>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0702"/>
    <w:rsid w:val="0000161C"/>
    <w:rsid w:val="00011EE9"/>
    <w:rsid w:val="00014791"/>
    <w:rsid w:val="00033103"/>
    <w:rsid w:val="00034414"/>
    <w:rsid w:val="00052711"/>
    <w:rsid w:val="000711B2"/>
    <w:rsid w:val="00090F06"/>
    <w:rsid w:val="00092090"/>
    <w:rsid w:val="000948A7"/>
    <w:rsid w:val="000A1569"/>
    <w:rsid w:val="000C3D62"/>
    <w:rsid w:val="000E13F5"/>
    <w:rsid w:val="000E48A9"/>
    <w:rsid w:val="00103167"/>
    <w:rsid w:val="00113C2B"/>
    <w:rsid w:val="00132142"/>
    <w:rsid w:val="0017440F"/>
    <w:rsid w:val="00180F70"/>
    <w:rsid w:val="00191CC9"/>
    <w:rsid w:val="001A502B"/>
    <w:rsid w:val="001B3778"/>
    <w:rsid w:val="001B4052"/>
    <w:rsid w:val="001C50DB"/>
    <w:rsid w:val="001D7F7A"/>
    <w:rsid w:val="001F2B5A"/>
    <w:rsid w:val="00206743"/>
    <w:rsid w:val="00223B93"/>
    <w:rsid w:val="00234D1D"/>
    <w:rsid w:val="002663BA"/>
    <w:rsid w:val="00284FBD"/>
    <w:rsid w:val="00294216"/>
    <w:rsid w:val="00316D4F"/>
    <w:rsid w:val="003276B2"/>
    <w:rsid w:val="00334210"/>
    <w:rsid w:val="00341D09"/>
    <w:rsid w:val="00355E47"/>
    <w:rsid w:val="00357FA9"/>
    <w:rsid w:val="003C3B3A"/>
    <w:rsid w:val="003D0167"/>
    <w:rsid w:val="00413A7A"/>
    <w:rsid w:val="00425D73"/>
    <w:rsid w:val="00440154"/>
    <w:rsid w:val="00443CFD"/>
    <w:rsid w:val="00457462"/>
    <w:rsid w:val="004B6CEC"/>
    <w:rsid w:val="004E37A7"/>
    <w:rsid w:val="004E4DBA"/>
    <w:rsid w:val="00526DA5"/>
    <w:rsid w:val="005461A2"/>
    <w:rsid w:val="00590702"/>
    <w:rsid w:val="00595443"/>
    <w:rsid w:val="005C1FBA"/>
    <w:rsid w:val="005D730E"/>
    <w:rsid w:val="005E42A5"/>
    <w:rsid w:val="006028B7"/>
    <w:rsid w:val="00602C4B"/>
    <w:rsid w:val="006440DB"/>
    <w:rsid w:val="00650781"/>
    <w:rsid w:val="00654B47"/>
    <w:rsid w:val="00655B12"/>
    <w:rsid w:val="00683F67"/>
    <w:rsid w:val="00685B45"/>
    <w:rsid w:val="0069792A"/>
    <w:rsid w:val="006D2A4D"/>
    <w:rsid w:val="006D7446"/>
    <w:rsid w:val="006E3868"/>
    <w:rsid w:val="007544C5"/>
    <w:rsid w:val="007607A0"/>
    <w:rsid w:val="00760CF3"/>
    <w:rsid w:val="00762EF0"/>
    <w:rsid w:val="007A574B"/>
    <w:rsid w:val="007A6428"/>
    <w:rsid w:val="007B2DAA"/>
    <w:rsid w:val="007E29FB"/>
    <w:rsid w:val="007E3DCF"/>
    <w:rsid w:val="007F2F8C"/>
    <w:rsid w:val="00807ADD"/>
    <w:rsid w:val="0083233D"/>
    <w:rsid w:val="00871B0F"/>
    <w:rsid w:val="00883ACE"/>
    <w:rsid w:val="008A216B"/>
    <w:rsid w:val="008B229A"/>
    <w:rsid w:val="008C1F63"/>
    <w:rsid w:val="008D7DB7"/>
    <w:rsid w:val="008E3F61"/>
    <w:rsid w:val="008E69E0"/>
    <w:rsid w:val="00920EF7"/>
    <w:rsid w:val="00931F56"/>
    <w:rsid w:val="0093717F"/>
    <w:rsid w:val="009674D2"/>
    <w:rsid w:val="00967823"/>
    <w:rsid w:val="00977BF3"/>
    <w:rsid w:val="009A6B17"/>
    <w:rsid w:val="009C14DB"/>
    <w:rsid w:val="009E3D9B"/>
    <w:rsid w:val="009F5552"/>
    <w:rsid w:val="00A01560"/>
    <w:rsid w:val="00A369E5"/>
    <w:rsid w:val="00A401A4"/>
    <w:rsid w:val="00A756D9"/>
    <w:rsid w:val="00A802B5"/>
    <w:rsid w:val="00A80F33"/>
    <w:rsid w:val="00AA1202"/>
    <w:rsid w:val="00AC4C47"/>
    <w:rsid w:val="00AF5A19"/>
    <w:rsid w:val="00B012AC"/>
    <w:rsid w:val="00B11AB0"/>
    <w:rsid w:val="00B20491"/>
    <w:rsid w:val="00B2698A"/>
    <w:rsid w:val="00B5224E"/>
    <w:rsid w:val="00B61AC9"/>
    <w:rsid w:val="00B76392"/>
    <w:rsid w:val="00B77CC2"/>
    <w:rsid w:val="00BC317E"/>
    <w:rsid w:val="00BC38A5"/>
    <w:rsid w:val="00BD37F7"/>
    <w:rsid w:val="00BE1230"/>
    <w:rsid w:val="00BE1B42"/>
    <w:rsid w:val="00BE6928"/>
    <w:rsid w:val="00C8234A"/>
    <w:rsid w:val="00CC5F66"/>
    <w:rsid w:val="00CE6151"/>
    <w:rsid w:val="00CF3C97"/>
    <w:rsid w:val="00D10FBA"/>
    <w:rsid w:val="00D14E2E"/>
    <w:rsid w:val="00D159FC"/>
    <w:rsid w:val="00D420DA"/>
    <w:rsid w:val="00D46C6C"/>
    <w:rsid w:val="00D56059"/>
    <w:rsid w:val="00D80375"/>
    <w:rsid w:val="00DB4538"/>
    <w:rsid w:val="00DD4DE8"/>
    <w:rsid w:val="00DF0663"/>
    <w:rsid w:val="00E04310"/>
    <w:rsid w:val="00E14F95"/>
    <w:rsid w:val="00E2740D"/>
    <w:rsid w:val="00E43F72"/>
    <w:rsid w:val="00E54DBD"/>
    <w:rsid w:val="00E63C08"/>
    <w:rsid w:val="00E81B0A"/>
    <w:rsid w:val="00E95909"/>
    <w:rsid w:val="00EB45FD"/>
    <w:rsid w:val="00EE5B31"/>
    <w:rsid w:val="00EF089F"/>
    <w:rsid w:val="00EF52EB"/>
    <w:rsid w:val="00F60AE6"/>
    <w:rsid w:val="00F701A2"/>
    <w:rsid w:val="00FA0F4E"/>
    <w:rsid w:val="00FB7DA5"/>
    <w:rsid w:val="00FC3DD2"/>
    <w:rsid w:val="00FF052D"/>
    <w:rsid w:val="00FF5ED7"/>
    <w:rsid w:val="00FF7C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Cambria"/>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rFonts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0702"/>
    <w:pPr>
      <w:tabs>
        <w:tab w:val="center" w:pos="4320"/>
        <w:tab w:val="right" w:pos="8640"/>
      </w:tabs>
      <w:spacing w:after="0"/>
    </w:pPr>
  </w:style>
  <w:style w:type="character" w:customStyle="1" w:styleId="HeaderChar">
    <w:name w:val="Header Char"/>
    <w:basedOn w:val="DefaultParagraphFont"/>
    <w:link w:val="Header"/>
    <w:uiPriority w:val="99"/>
    <w:locked/>
    <w:rsid w:val="00590702"/>
    <w:rPr>
      <w:rFonts w:cs="Times New Roman"/>
    </w:rPr>
  </w:style>
  <w:style w:type="character" w:styleId="PageNumber">
    <w:name w:val="page number"/>
    <w:basedOn w:val="DefaultParagraphFont"/>
    <w:uiPriority w:val="99"/>
    <w:semiHidden/>
    <w:rsid w:val="00590702"/>
    <w:rPr>
      <w:rFonts w:cs="Times New Roman"/>
    </w:rPr>
  </w:style>
  <w:style w:type="paragraph" w:styleId="Footer">
    <w:name w:val="footer"/>
    <w:basedOn w:val="Normal"/>
    <w:link w:val="FooterChar"/>
    <w:uiPriority w:val="99"/>
    <w:semiHidden/>
    <w:rsid w:val="00760CF3"/>
    <w:pPr>
      <w:tabs>
        <w:tab w:val="center" w:pos="4320"/>
        <w:tab w:val="right" w:pos="8640"/>
      </w:tabs>
      <w:spacing w:after="0"/>
    </w:pPr>
  </w:style>
  <w:style w:type="character" w:customStyle="1" w:styleId="FooterChar">
    <w:name w:val="Footer Char"/>
    <w:basedOn w:val="DefaultParagraphFont"/>
    <w:link w:val="Footer"/>
    <w:uiPriority w:val="99"/>
    <w:semiHidden/>
    <w:locked/>
    <w:rsid w:val="00760CF3"/>
    <w:rPr>
      <w:rFonts w:cs="Times New Roman"/>
    </w:rPr>
  </w:style>
  <w:style w:type="paragraph" w:styleId="NoSpacing">
    <w:name w:val="No Spacing"/>
    <w:link w:val="NoSpacingChar"/>
    <w:uiPriority w:val="99"/>
    <w:qFormat/>
    <w:rsid w:val="00760CF3"/>
    <w:rPr>
      <w:rFonts w:ascii="PMingLiU" w:eastAsia="PMingLiU" w:hAnsi="Times New Roman" w:cs="Times New Roman"/>
    </w:rPr>
  </w:style>
  <w:style w:type="character" w:customStyle="1" w:styleId="NoSpacingChar">
    <w:name w:val="No Spacing Char"/>
    <w:basedOn w:val="DefaultParagraphFont"/>
    <w:link w:val="NoSpacing"/>
    <w:uiPriority w:val="99"/>
    <w:locked/>
    <w:rsid w:val="00760CF3"/>
    <w:rPr>
      <w:rFonts w:ascii="PMingLiU" w:eastAsia="Times New Roman" w:hAnsi="PMingLiU" w:cs="Times New Roman"/>
      <w:sz w:val="22"/>
    </w:rPr>
  </w:style>
  <w:style w:type="character" w:styleId="Hyperlink">
    <w:name w:val="Hyperlink"/>
    <w:basedOn w:val="DefaultParagraphFont"/>
    <w:uiPriority w:val="99"/>
    <w:semiHidden/>
    <w:rsid w:val="004E4DBA"/>
    <w:rPr>
      <w:rFonts w:cs="Times New Roman"/>
      <w:color w:val="0000FF"/>
      <w:u w:val="single"/>
    </w:rPr>
  </w:style>
  <w:style w:type="character" w:styleId="FollowedHyperlink">
    <w:name w:val="FollowedHyperlink"/>
    <w:basedOn w:val="DefaultParagraphFont"/>
    <w:uiPriority w:val="99"/>
    <w:semiHidden/>
    <w:rsid w:val="00871B0F"/>
    <w:rPr>
      <w:rFonts w:cs="Times New Roman"/>
      <w:color w:val="800080"/>
      <w:u w:val="single"/>
    </w:rPr>
  </w:style>
  <w:style w:type="paragraph" w:styleId="ListParagraph">
    <w:name w:val="List Paragraph"/>
    <w:basedOn w:val="Normal"/>
    <w:uiPriority w:val="99"/>
    <w:qFormat/>
    <w:rsid w:val="00223B93"/>
    <w:pPr>
      <w:ind w:left="720"/>
      <w:contextualSpacing/>
    </w:pPr>
  </w:style>
  <w:style w:type="character" w:styleId="CommentReference">
    <w:name w:val="annotation reference"/>
    <w:basedOn w:val="DefaultParagraphFont"/>
    <w:uiPriority w:val="99"/>
    <w:semiHidden/>
    <w:rsid w:val="00341D09"/>
    <w:rPr>
      <w:rFonts w:cs="Times New Roman"/>
      <w:sz w:val="16"/>
      <w:szCs w:val="16"/>
    </w:rPr>
  </w:style>
  <w:style w:type="paragraph" w:styleId="CommentText">
    <w:name w:val="annotation text"/>
    <w:basedOn w:val="Normal"/>
    <w:link w:val="CommentTextChar"/>
    <w:uiPriority w:val="99"/>
    <w:semiHidden/>
    <w:rsid w:val="00341D09"/>
    <w:rPr>
      <w:sz w:val="20"/>
      <w:szCs w:val="20"/>
    </w:rPr>
  </w:style>
  <w:style w:type="character" w:customStyle="1" w:styleId="CommentTextChar">
    <w:name w:val="Comment Text Char"/>
    <w:basedOn w:val="DefaultParagraphFont"/>
    <w:link w:val="CommentText"/>
    <w:uiPriority w:val="99"/>
    <w:semiHidden/>
    <w:locked/>
    <w:rsid w:val="00341D09"/>
    <w:rPr>
      <w:rFonts w:cs="Times New Roman"/>
      <w:sz w:val="20"/>
      <w:szCs w:val="20"/>
    </w:rPr>
  </w:style>
  <w:style w:type="paragraph" w:styleId="CommentSubject">
    <w:name w:val="annotation subject"/>
    <w:basedOn w:val="CommentText"/>
    <w:next w:val="CommentText"/>
    <w:link w:val="CommentSubjectChar"/>
    <w:uiPriority w:val="99"/>
    <w:semiHidden/>
    <w:rsid w:val="00341D09"/>
    <w:rPr>
      <w:b/>
      <w:bCs/>
    </w:rPr>
  </w:style>
  <w:style w:type="character" w:customStyle="1" w:styleId="CommentSubjectChar">
    <w:name w:val="Comment Subject Char"/>
    <w:basedOn w:val="CommentTextChar"/>
    <w:link w:val="CommentSubject"/>
    <w:uiPriority w:val="99"/>
    <w:semiHidden/>
    <w:locked/>
    <w:rsid w:val="00341D09"/>
    <w:rPr>
      <w:b/>
      <w:bCs/>
    </w:rPr>
  </w:style>
  <w:style w:type="paragraph" w:styleId="BalloonText">
    <w:name w:val="Balloon Text"/>
    <w:basedOn w:val="Normal"/>
    <w:link w:val="BalloonTextChar"/>
    <w:uiPriority w:val="99"/>
    <w:semiHidden/>
    <w:rsid w:val="00341D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1D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heumatology.org/practice/clinical/guidelines/oa-mgmt.as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nephron.com/cgi-bin/CGSI.cgi"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phron.com/cgi-bin/CGSI.cg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thritis.org/media/chapters/mic/New%20Site%20Sample%20Forms/Starter%20Kit%20-%20AFSHP%20Site%20Sample.pdf" TargetMode="External"/><Relationship Id="rId4" Type="http://schemas.openxmlformats.org/officeDocument/2006/relationships/webSettings" Target="webSettings.xml"/><Relationship Id="rId9" Type="http://schemas.openxmlformats.org/officeDocument/2006/relationships/hyperlink" Target="http://www.rheumatology.org/practice/clinical/guidelines/oa-mgmt.a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1377</Words>
  <Characters>7851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9</dc:title>
  <dc:subject/>
  <dc:creator>Lynette Hosier</dc:creator>
  <cp:keywords/>
  <dc:description/>
  <cp:lastModifiedBy>labuser</cp:lastModifiedBy>
  <cp:revision>2</cp:revision>
  <cp:lastPrinted>2012-03-18T21:18:00Z</cp:lastPrinted>
  <dcterms:created xsi:type="dcterms:W3CDTF">2012-06-11T18:03:00Z</dcterms:created>
  <dcterms:modified xsi:type="dcterms:W3CDTF">2012-06-11T18:03:00Z</dcterms:modified>
</cp:coreProperties>
</file>