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1667B4">
      <w:pPr>
        <w:pStyle w:val="APA"/>
      </w:pPr>
    </w:p>
    <w:p w:rsidR="001667B4" w:rsidRDefault="001667B4" w:rsidP="001667B4">
      <w:pPr>
        <w:pStyle w:val="APA"/>
      </w:pPr>
    </w:p>
    <w:p w:rsidR="001667B4" w:rsidRPr="00202584" w:rsidRDefault="00202584" w:rsidP="001667B4">
      <w:pPr>
        <w:pStyle w:val="APA"/>
        <w:rPr>
          <w:color w:val="FF0000"/>
        </w:rPr>
      </w:pPr>
      <w:r w:rsidRPr="00202584">
        <w:rPr>
          <w:color w:val="FF0000"/>
        </w:rPr>
        <w:t>25/25</w:t>
      </w:r>
    </w:p>
    <w:p w:rsidR="001667B4" w:rsidRDefault="001667B4" w:rsidP="001667B4">
      <w:pPr>
        <w:pStyle w:val="APA"/>
      </w:pPr>
    </w:p>
    <w:p w:rsidR="001667B4" w:rsidRDefault="001667B4" w:rsidP="001667B4">
      <w:pPr>
        <w:pStyle w:val="APA"/>
      </w:pPr>
    </w:p>
    <w:p w:rsidR="001667B4" w:rsidRDefault="001667B4" w:rsidP="001667B4">
      <w:pPr>
        <w:pStyle w:val="APA"/>
      </w:pPr>
    </w:p>
    <w:p w:rsidR="001667B4" w:rsidRDefault="001667B4" w:rsidP="001667B4">
      <w:pPr>
        <w:pStyle w:val="APA"/>
      </w:pPr>
    </w:p>
    <w:p w:rsidR="001667B4" w:rsidRDefault="001667B4" w:rsidP="001667B4">
      <w:pPr>
        <w:pStyle w:val="APAHeadingCenter"/>
      </w:pPr>
      <w:bookmarkStart w:id="0" w:name="bmTitlePageTitle"/>
      <w:r>
        <w:t>Case Study 4.2</w:t>
      </w:r>
      <w:bookmarkEnd w:id="0"/>
    </w:p>
    <w:p w:rsidR="001667B4" w:rsidRDefault="001667B4" w:rsidP="001667B4">
      <w:pPr>
        <w:pStyle w:val="APAHeadingCenter"/>
      </w:pPr>
      <w:bookmarkStart w:id="1" w:name="bmTitlePageName"/>
      <w:r>
        <w:t>Kimberly Tuggle</w:t>
      </w:r>
      <w:bookmarkEnd w:id="1"/>
    </w:p>
    <w:p w:rsidR="008D40DF" w:rsidRDefault="001667B4" w:rsidP="008D40DF">
      <w:pPr>
        <w:pStyle w:val="APAHeadingCenter"/>
      </w:pPr>
      <w:bookmarkStart w:id="2" w:name="bmTitlePageInst"/>
      <w:r>
        <w:t>Lakeview College of Nursing</w:t>
      </w:r>
      <w:bookmarkStart w:id="3" w:name="bmTitleAdd1"/>
      <w:bookmarkStart w:id="4" w:name="bmTitleAdd2"/>
      <w:bookmarkEnd w:id="2"/>
      <w:bookmarkEnd w:id="3"/>
    </w:p>
    <w:p w:rsidR="001667B4" w:rsidRDefault="001667B4" w:rsidP="008D40DF">
      <w:pPr>
        <w:pStyle w:val="APAHeadingCenter"/>
      </w:pPr>
      <w:r>
        <w:t>N309</w:t>
      </w:r>
      <w:bookmarkEnd w:id="4"/>
    </w:p>
    <w:p w:rsidR="001667B4" w:rsidRDefault="001667B4" w:rsidP="001667B4">
      <w:pPr>
        <w:pStyle w:val="APAHeadingCenter"/>
      </w:pPr>
      <w:bookmarkStart w:id="5" w:name="bmTitleAdd3"/>
      <w:bookmarkStart w:id="6" w:name="bmTitleAdd4"/>
      <w:bookmarkEnd w:id="5"/>
      <w:r>
        <w:t>September 23, 2012</w:t>
      </w:r>
      <w:bookmarkEnd w:id="6"/>
    </w:p>
    <w:p w:rsidR="001667B4" w:rsidRDefault="001667B4" w:rsidP="001667B4">
      <w:pPr>
        <w:pStyle w:val="APA"/>
        <w:sectPr w:rsidR="001667B4" w:rsidSect="001667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1667B4" w:rsidRDefault="001667B4" w:rsidP="001667B4">
      <w:pPr>
        <w:pStyle w:val="APA"/>
        <w:sectPr w:rsidR="001667B4" w:rsidSect="001667B4">
          <w:headerReference w:type="first" r:id="rId14"/>
          <w:type w:val="continuous"/>
          <w:pgSz w:w="12240" w:h="15840" w:code="1"/>
          <w:pgMar w:top="1440" w:right="1440" w:bottom="1440" w:left="1440" w:header="720" w:footer="720" w:gutter="0"/>
          <w:cols w:space="720"/>
          <w:titlePg/>
          <w:docGrid w:linePitch="360"/>
        </w:sectPr>
      </w:pPr>
    </w:p>
    <w:p w:rsidR="001667B4" w:rsidRDefault="001667B4" w:rsidP="001667B4">
      <w:pPr>
        <w:pStyle w:val="APAHeadingCenter"/>
      </w:pPr>
      <w:bookmarkStart w:id="7" w:name="bmFirstPageTitle"/>
      <w:r>
        <w:lastRenderedPageBreak/>
        <w:t>Case Study 4.2</w:t>
      </w:r>
      <w:bookmarkEnd w:id="7"/>
    </w:p>
    <w:p w:rsidR="001667B4" w:rsidRDefault="008D40DF" w:rsidP="001D4D4E">
      <w:pPr>
        <w:pStyle w:val="APA"/>
        <w:numPr>
          <w:ilvl w:val="0"/>
          <w:numId w:val="1"/>
        </w:numPr>
      </w:pPr>
      <w:r>
        <w:t xml:space="preserve">Risks </w:t>
      </w:r>
      <w:r w:rsidR="00F11027">
        <w:t xml:space="preserve">for multiple-prescriber medication seeking behaviors are </w:t>
      </w:r>
      <w:r w:rsidR="00B51C44">
        <w:t>ADRs, increased cost, and noncompliance. Each prescriber not knowing what the patient is taking is dangerous. This puts the patients at risk for adverse drug reactions and especially drug-to-drug interactions. The older adult excretes drugs more slowly and has many more drug interactions to be concerned about. An elderly patient may also not recover from a reaction or overdose well and can be fatal</w:t>
      </w:r>
      <w:r w:rsidR="00176B81">
        <w:t>. Elderly taking many drugs at once can also lead to confusion, and decreased gait. This puts them at a huge risk for falls and injury</w:t>
      </w:r>
      <w:r w:rsidR="00B51C44">
        <w:t xml:space="preserve"> (</w:t>
      </w:r>
      <w:proofErr w:type="spellStart"/>
      <w:r w:rsidR="00B51C44">
        <w:t>Mauk</w:t>
      </w:r>
      <w:proofErr w:type="spellEnd"/>
      <w:r w:rsidR="00B51C44">
        <w:t xml:space="preserve">, 2010). </w:t>
      </w:r>
    </w:p>
    <w:p w:rsidR="001D4D4E" w:rsidRDefault="00176B81" w:rsidP="001D4D4E">
      <w:pPr>
        <w:pStyle w:val="APA"/>
        <w:numPr>
          <w:ilvl w:val="0"/>
          <w:numId w:val="1"/>
        </w:numPr>
      </w:pPr>
      <w:r>
        <w:t xml:space="preserve">The prescriber needs to know all medications, by generic and brand names, knowing why each medication is prescribed, what the patient is actually taking, eliminating drugs with no benefit, avoiding treating a drug reaction with another drug. </w:t>
      </w:r>
    </w:p>
    <w:p w:rsidR="00176B81" w:rsidRDefault="00176B81" w:rsidP="00176B81">
      <w:pPr>
        <w:pStyle w:val="APA"/>
        <w:ind w:left="720" w:firstLine="0"/>
      </w:pPr>
      <w:r>
        <w:t xml:space="preserve">There is also the prescription drug-monitoring program (PDMP) that is electronic database that controlled and collects all control substances that are prescribed in a given state. This will also tell the name of patient, prescriber, and the medication being prescribed. This is used to detect </w:t>
      </w:r>
      <w:r w:rsidR="003B612D">
        <w:t>doctor shopping</w:t>
      </w:r>
      <w:r>
        <w:t xml:space="preserve"> (</w:t>
      </w:r>
      <w:r w:rsidR="007E3DCF">
        <w:t>Drug Control Florida, 2010).</w:t>
      </w:r>
    </w:p>
    <w:p w:rsidR="005110D2" w:rsidRDefault="003B612D" w:rsidP="005110D2">
      <w:pPr>
        <w:pStyle w:val="APA"/>
        <w:numPr>
          <w:ilvl w:val="0"/>
          <w:numId w:val="1"/>
        </w:numPr>
      </w:pPr>
      <w:r>
        <w:t>There is an assessment quiz called SOAPP-R, which means screener and opioid assessment with patients with pain revised. Some of the questions are do you have mood swings, how often have you had the need to ask for higher doses, how often have you felt impatient with your doctors, how often do you count pain pills to see how many is remaining, how often do you feel craving for medication, and do other</w:t>
      </w:r>
      <w:r w:rsidR="00C33038">
        <w:t>s</w:t>
      </w:r>
      <w:r>
        <w:t xml:space="preserve"> present concern about your use of medication? These are all questions to ask your patient (</w:t>
      </w:r>
      <w:r w:rsidR="00290BCA">
        <w:t>“Opioid risk”</w:t>
      </w:r>
      <w:r>
        <w:t xml:space="preserve">, 2012). The questions to ask yourself as a nurse are is the treatment </w:t>
      </w:r>
      <w:r w:rsidR="00C33038">
        <w:t>necessary</w:t>
      </w:r>
      <w:r>
        <w:t xml:space="preserve">, is this the </w:t>
      </w:r>
      <w:r>
        <w:lastRenderedPageBreak/>
        <w:t>safest drug available, is it the most appropriate route, dose, administration, and dosage form, is the frequency appropriate, and does the benefits outweigh the risk (</w:t>
      </w:r>
      <w:proofErr w:type="spellStart"/>
      <w:r>
        <w:t>Mauk</w:t>
      </w:r>
      <w:proofErr w:type="spellEnd"/>
      <w:r>
        <w:t xml:space="preserve">, 2010)? </w:t>
      </w:r>
    </w:p>
    <w:p w:rsidR="005110D2" w:rsidRDefault="005110D2" w:rsidP="005110D2">
      <w:pPr>
        <w:pStyle w:val="APA"/>
        <w:numPr>
          <w:ilvl w:val="0"/>
          <w:numId w:val="1"/>
        </w:numPr>
      </w:pPr>
      <w:r>
        <w:t xml:space="preserve">1,2,3, and 4 are all risks. </w:t>
      </w:r>
    </w:p>
    <w:p w:rsidR="005110D2" w:rsidRDefault="005110D2" w:rsidP="005110D2">
      <w:pPr>
        <w:pStyle w:val="APA"/>
        <w:numPr>
          <w:ilvl w:val="1"/>
          <w:numId w:val="1"/>
        </w:numPr>
      </w:pPr>
      <w:r>
        <w:t>The signs and symptoms of opioid withdraw are</w:t>
      </w:r>
      <w:r w:rsidR="00317F71">
        <w:t xml:space="preserve"> agitation, anxiety, muscle aches, increased tearing, insomnia, running nose, sweating, and yawning. Those all are the early symptoms. The later symptoms are abdominal cramping, pupil dilation, diarrhea, goose bumps, nausea, and vomiting (</w:t>
      </w:r>
      <w:proofErr w:type="spellStart"/>
      <w:r w:rsidR="007E3DCF">
        <w:t>Zieve</w:t>
      </w:r>
      <w:proofErr w:type="spellEnd"/>
      <w:r w:rsidR="007E3DCF">
        <w:t xml:space="preserve">, 2012). </w:t>
      </w:r>
    </w:p>
    <w:p w:rsidR="005512F9" w:rsidRDefault="005512F9" w:rsidP="005110D2">
      <w:pPr>
        <w:pStyle w:val="APA"/>
        <w:numPr>
          <w:ilvl w:val="1"/>
          <w:numId w:val="1"/>
        </w:numPr>
      </w:pPr>
      <w:r>
        <w:t>When stopping opioids it takes usually around twelve hours until symptoms begin to appear (</w:t>
      </w:r>
      <w:proofErr w:type="spellStart"/>
      <w:r w:rsidR="007E3DCF">
        <w:t>Zieve</w:t>
      </w:r>
      <w:proofErr w:type="spellEnd"/>
      <w:r>
        <w:t xml:space="preserve">, 2012). </w:t>
      </w:r>
    </w:p>
    <w:p w:rsidR="005512F9" w:rsidRDefault="005512F9" w:rsidP="005512F9">
      <w:pPr>
        <w:pStyle w:val="APA"/>
        <w:numPr>
          <w:ilvl w:val="0"/>
          <w:numId w:val="1"/>
        </w:numPr>
      </w:pPr>
      <w:r>
        <w:t>D</w:t>
      </w:r>
    </w:p>
    <w:p w:rsidR="00202584" w:rsidRDefault="002D7D98" w:rsidP="00202584">
      <w:pPr>
        <w:pStyle w:val="APA"/>
        <w:numPr>
          <w:ilvl w:val="0"/>
          <w:numId w:val="1"/>
        </w:numPr>
      </w:pPr>
      <w:r>
        <w:t>The nurse could explain to the patient that they do not like to prescribe benzodiazepines to the elder considering all the adverse effects. If</w:t>
      </w:r>
      <w:r w:rsidR="00076207">
        <w:t xml:space="preserve"> a benzodiazepine is</w:t>
      </w:r>
      <w:r>
        <w:t xml:space="preserve"> </w:t>
      </w:r>
      <w:bookmarkStart w:id="8" w:name="C411757510416667I0T411757520370370"/>
      <w:r w:rsidR="00076207">
        <w:t xml:space="preserve">needed </w:t>
      </w:r>
      <w:bookmarkEnd w:id="8"/>
      <w:r>
        <w:t>they only like to prescribe them for less than 4 months. The nurse can explain to her that these and be addicting and why she has to follow her regiment. Some symptoms include irritability anger and loss of control. The plan they have to slowly help her off these medications will make it easier if she does not cheat (</w:t>
      </w:r>
      <w:proofErr w:type="spellStart"/>
      <w:r>
        <w:t>Mauk</w:t>
      </w:r>
      <w:proofErr w:type="spellEnd"/>
      <w:r>
        <w:t>, 2010).</w:t>
      </w:r>
    </w:p>
    <w:p w:rsidR="00202584" w:rsidRPr="00202584" w:rsidRDefault="00202584" w:rsidP="00202584">
      <w:pPr>
        <w:pStyle w:val="ListParagraph"/>
        <w:overflowPunct/>
        <w:textAlignment w:val="auto"/>
        <w:rPr>
          <w:rFonts w:ascii="ITCGaramondStd-Bk" w:hAnsi="ITCGaramondStd-Bk" w:cs="ITCGaramondStd-Bk"/>
          <w:color w:val="FF0000"/>
        </w:rPr>
      </w:pPr>
      <w:r w:rsidRPr="00202584">
        <w:rPr>
          <w:rFonts w:ascii="ITCGaramondStd-Bk" w:hAnsi="ITCGaramondStd-Bk" w:cs="ITCGaramondStd-Bk"/>
          <w:color w:val="FF0000"/>
        </w:rPr>
        <w:t>Establish a behavioral contract. Have the patient sign. Require accountability for actions. Identify support systems in the community and/or within their family to reinforce healthy behavioral patterns. Involve and refer existing family members for substance use evaluation/intervention. Refer for outpatient therapy. Give</w:t>
      </w:r>
    </w:p>
    <w:p w:rsidR="00076207" w:rsidRPr="00202584" w:rsidRDefault="00202584" w:rsidP="00202584">
      <w:pPr>
        <w:pStyle w:val="ListParagraph"/>
        <w:overflowPunct/>
        <w:textAlignment w:val="auto"/>
        <w:rPr>
          <w:color w:val="FF0000"/>
        </w:rPr>
      </w:pPr>
      <w:proofErr w:type="gramStart"/>
      <w:r w:rsidRPr="00202584">
        <w:rPr>
          <w:rFonts w:ascii="ITCGaramondStd-Bk" w:hAnsi="ITCGaramondStd-Bk" w:cs="ITCGaramondStd-Bk"/>
          <w:color w:val="FF0000"/>
        </w:rPr>
        <w:t>information</w:t>
      </w:r>
      <w:proofErr w:type="gramEnd"/>
      <w:r w:rsidRPr="00202584">
        <w:rPr>
          <w:rFonts w:ascii="ITCGaramondStd-Bk" w:hAnsi="ITCGaramondStd-Bk" w:cs="ITCGaramondStd-Bk"/>
          <w:color w:val="FF0000"/>
        </w:rPr>
        <w:t xml:space="preserve"> into support groups and activities in the area. Provide continued support and follow-up </w:t>
      </w:r>
      <w:proofErr w:type="gramStart"/>
      <w:r w:rsidRPr="00202584">
        <w:rPr>
          <w:rFonts w:ascii="ITCGaramondStd-Bk" w:hAnsi="ITCGaramondStd-Bk" w:cs="ITCGaramondStd-Bk"/>
          <w:color w:val="FF0000"/>
        </w:rPr>
        <w:t>with  regularly</w:t>
      </w:r>
      <w:proofErr w:type="gramEnd"/>
      <w:r w:rsidRPr="00202584">
        <w:rPr>
          <w:rFonts w:ascii="ITCGaramondStd-Bk" w:hAnsi="ITCGaramondStd-Bk" w:cs="ITCGaramondStd-Bk"/>
          <w:color w:val="FF0000"/>
        </w:rPr>
        <w:t xml:space="preserve"> scheduled primary care visits, home care assessments, and reinforce positive behaviors and actions toward adhering to the care plan.</w:t>
      </w:r>
      <w:r w:rsidR="002D7D98" w:rsidRPr="00202584">
        <w:rPr>
          <w:color w:val="FF0000"/>
        </w:rPr>
        <w:t xml:space="preserve"> </w:t>
      </w:r>
      <w:bookmarkStart w:id="9" w:name="_GoBack"/>
      <w:bookmarkEnd w:id="9"/>
    </w:p>
    <w:p w:rsidR="00076207" w:rsidRDefault="00076207">
      <w:pPr>
        <w:overflowPunct/>
        <w:autoSpaceDE/>
        <w:autoSpaceDN/>
        <w:adjustRightInd/>
        <w:textAlignment w:val="auto"/>
        <w:rPr>
          <w:sz w:val="24"/>
        </w:rPr>
      </w:pPr>
      <w:r>
        <w:br w:type="page"/>
      </w:r>
    </w:p>
    <w:p w:rsidR="005512F9" w:rsidRDefault="00076207" w:rsidP="00076207">
      <w:pPr>
        <w:pStyle w:val="APAHeadingCenter"/>
      </w:pPr>
      <w:r>
        <w:lastRenderedPageBreak/>
        <w:t>References</w:t>
      </w:r>
    </w:p>
    <w:p w:rsidR="00290BCA" w:rsidRDefault="007E3DCF" w:rsidP="00290BCA">
      <w:pPr>
        <w:pStyle w:val="APA"/>
        <w:ind w:firstLine="0"/>
        <w:rPr>
          <w:szCs w:val="24"/>
        </w:rPr>
      </w:pPr>
      <w:proofErr w:type="gramStart"/>
      <w:r w:rsidRPr="00290BCA">
        <w:rPr>
          <w:szCs w:val="24"/>
        </w:rPr>
        <w:t>Drug Control Florida.</w:t>
      </w:r>
      <w:proofErr w:type="gramEnd"/>
      <w:r w:rsidRPr="00290BCA">
        <w:rPr>
          <w:szCs w:val="24"/>
        </w:rPr>
        <w:t xml:space="preserve"> (2010). </w:t>
      </w:r>
      <w:proofErr w:type="gramStart"/>
      <w:r w:rsidRPr="00290BCA">
        <w:rPr>
          <w:i/>
          <w:iCs/>
          <w:szCs w:val="24"/>
        </w:rPr>
        <w:t>About</w:t>
      </w:r>
      <w:proofErr w:type="gramEnd"/>
      <w:r w:rsidRPr="00290BCA">
        <w:rPr>
          <w:i/>
          <w:iCs/>
          <w:szCs w:val="24"/>
        </w:rPr>
        <w:t xml:space="preserve"> the prescription drug monitoring program</w:t>
      </w:r>
      <w:r w:rsidRPr="00290BCA">
        <w:rPr>
          <w:szCs w:val="24"/>
        </w:rPr>
        <w:t>. Retrieved</w:t>
      </w:r>
    </w:p>
    <w:p w:rsidR="00290BCA" w:rsidRDefault="00290BCA" w:rsidP="00290BCA">
      <w:pPr>
        <w:pStyle w:val="APA"/>
        <w:rPr>
          <w:szCs w:val="24"/>
        </w:rPr>
      </w:pPr>
      <w:r>
        <w:rPr>
          <w:szCs w:val="24"/>
        </w:rPr>
        <w:t xml:space="preserve"> </w:t>
      </w:r>
      <w:proofErr w:type="gramStart"/>
      <w:r>
        <w:rPr>
          <w:szCs w:val="24"/>
        </w:rPr>
        <w:t>from</w:t>
      </w:r>
      <w:proofErr w:type="gramEnd"/>
      <w:r>
        <w:rPr>
          <w:szCs w:val="24"/>
        </w:rPr>
        <w:t xml:space="preserve"> </w:t>
      </w:r>
      <w:r w:rsidR="007E3DCF" w:rsidRPr="00290BCA">
        <w:rPr>
          <w:szCs w:val="24"/>
        </w:rPr>
        <w:t>http://drugcontrol.flgov.com/pdmp/about.html</w:t>
      </w:r>
    </w:p>
    <w:p w:rsidR="00290BCA" w:rsidRPr="00290BCA" w:rsidRDefault="007E3DCF" w:rsidP="00290BCA">
      <w:pPr>
        <w:pStyle w:val="APA"/>
        <w:ind w:firstLine="0"/>
        <w:rPr>
          <w:color w:val="535353"/>
          <w:szCs w:val="24"/>
        </w:rPr>
      </w:pPr>
      <w:proofErr w:type="spellStart"/>
      <w:r w:rsidRPr="00290BCA">
        <w:rPr>
          <w:color w:val="535353"/>
          <w:szCs w:val="24"/>
        </w:rPr>
        <w:t>Mauk</w:t>
      </w:r>
      <w:proofErr w:type="spellEnd"/>
      <w:r w:rsidRPr="00290BCA">
        <w:rPr>
          <w:color w:val="535353"/>
          <w:szCs w:val="24"/>
        </w:rPr>
        <w:t xml:space="preserve">, K. (2010). </w:t>
      </w:r>
      <w:proofErr w:type="spellStart"/>
      <w:r w:rsidRPr="00290BCA">
        <w:rPr>
          <w:i/>
          <w:iCs/>
          <w:color w:val="535353"/>
          <w:szCs w:val="24"/>
        </w:rPr>
        <w:t>Gerontological</w:t>
      </w:r>
      <w:proofErr w:type="spellEnd"/>
      <w:r w:rsidRPr="00290BCA">
        <w:rPr>
          <w:i/>
          <w:iCs/>
          <w:color w:val="535353"/>
          <w:szCs w:val="24"/>
        </w:rPr>
        <w:t xml:space="preserve"> nursing: Competencies for care </w:t>
      </w:r>
      <w:r w:rsidRPr="00290BCA">
        <w:rPr>
          <w:color w:val="535353"/>
          <w:szCs w:val="24"/>
        </w:rPr>
        <w:t>(2</w:t>
      </w:r>
      <w:r w:rsidRPr="00290BCA">
        <w:rPr>
          <w:color w:val="535353"/>
          <w:szCs w:val="24"/>
          <w:vertAlign w:val="superscript"/>
        </w:rPr>
        <w:t>nd</w:t>
      </w:r>
      <w:r w:rsidRPr="00290BCA">
        <w:rPr>
          <w:color w:val="535353"/>
          <w:szCs w:val="24"/>
        </w:rPr>
        <w:t xml:space="preserve"> ed.). Boston: Jones</w:t>
      </w:r>
    </w:p>
    <w:p w:rsidR="00290BCA" w:rsidRPr="00290BCA" w:rsidRDefault="007E3DCF" w:rsidP="00290BCA">
      <w:pPr>
        <w:pStyle w:val="APA"/>
        <w:rPr>
          <w:color w:val="535353"/>
          <w:szCs w:val="24"/>
        </w:rPr>
      </w:pPr>
      <w:r w:rsidRPr="00290BCA">
        <w:rPr>
          <w:color w:val="535353"/>
          <w:szCs w:val="24"/>
        </w:rPr>
        <w:t xml:space="preserve"> &amp; </w:t>
      </w:r>
      <w:r w:rsidR="00290BCA" w:rsidRPr="00290BCA">
        <w:rPr>
          <w:color w:val="535353"/>
          <w:szCs w:val="24"/>
        </w:rPr>
        <w:t xml:space="preserve"> </w:t>
      </w:r>
      <w:r w:rsidRPr="00290BCA">
        <w:rPr>
          <w:color w:val="535353"/>
          <w:szCs w:val="24"/>
        </w:rPr>
        <w:t>Bartlett.</w:t>
      </w:r>
    </w:p>
    <w:p w:rsidR="00290BCA" w:rsidRDefault="00290BCA" w:rsidP="0062207F">
      <w:pPr>
        <w:pStyle w:val="APA"/>
        <w:ind w:firstLine="0"/>
        <w:rPr>
          <w:szCs w:val="24"/>
        </w:rPr>
      </w:pPr>
      <w:r w:rsidRPr="00290BCA">
        <w:rPr>
          <w:i/>
          <w:iCs/>
          <w:szCs w:val="24"/>
        </w:rPr>
        <w:t>Opioid risk</w:t>
      </w:r>
      <w:r w:rsidRPr="00290BCA">
        <w:rPr>
          <w:szCs w:val="24"/>
        </w:rPr>
        <w:t xml:space="preserve">. (2012, September 20). </w:t>
      </w:r>
      <w:r>
        <w:rPr>
          <w:szCs w:val="24"/>
        </w:rPr>
        <w:t>Retrievedfrom</w:t>
      </w:r>
      <w:r w:rsidRPr="00290BCA">
        <w:rPr>
          <w:szCs w:val="24"/>
        </w:rPr>
        <w:t>h</w:t>
      </w:r>
      <w:r>
        <w:rPr>
          <w:szCs w:val="24"/>
        </w:rPr>
        <w:t>ttp://www.opiodrisk.com</w:t>
      </w:r>
    </w:p>
    <w:p w:rsidR="00290BCA" w:rsidRDefault="00CD0A49" w:rsidP="00290BCA">
      <w:pPr>
        <w:pStyle w:val="APA"/>
        <w:ind w:firstLine="0"/>
        <w:rPr>
          <w:szCs w:val="24"/>
        </w:rPr>
      </w:pPr>
      <w:proofErr w:type="spellStart"/>
      <w:r w:rsidRPr="00290BCA">
        <w:rPr>
          <w:szCs w:val="24"/>
        </w:rPr>
        <w:t>Zieve</w:t>
      </w:r>
      <w:proofErr w:type="spellEnd"/>
      <w:r w:rsidRPr="00290BCA">
        <w:rPr>
          <w:szCs w:val="24"/>
        </w:rPr>
        <w:t xml:space="preserve">, D. (2012, February 07). </w:t>
      </w:r>
      <w:proofErr w:type="spellStart"/>
      <w:r w:rsidRPr="00290BCA">
        <w:rPr>
          <w:i/>
          <w:iCs/>
          <w:szCs w:val="24"/>
        </w:rPr>
        <w:t>Medlineplus</w:t>
      </w:r>
      <w:proofErr w:type="spellEnd"/>
      <w:r w:rsidRPr="00290BCA">
        <w:rPr>
          <w:szCs w:val="24"/>
        </w:rPr>
        <w:t xml:space="preserve">. </w:t>
      </w:r>
    </w:p>
    <w:p w:rsidR="00076207" w:rsidRPr="00290BCA" w:rsidRDefault="00CD0A49" w:rsidP="00290BCA">
      <w:pPr>
        <w:pStyle w:val="APA"/>
        <w:rPr>
          <w:szCs w:val="24"/>
        </w:rPr>
      </w:pPr>
      <w:r w:rsidRPr="00290BCA">
        <w:rPr>
          <w:szCs w:val="24"/>
        </w:rPr>
        <w:t>Retrieved</w:t>
      </w:r>
      <w:r w:rsidR="00290BCA">
        <w:rPr>
          <w:szCs w:val="24"/>
        </w:rPr>
        <w:t xml:space="preserve"> from </w:t>
      </w:r>
      <w:r w:rsidRPr="00290BCA">
        <w:rPr>
          <w:szCs w:val="24"/>
        </w:rPr>
        <w:t>http://www.nlm.nih.gov/medlineplus/ency/article/000949.htm</w:t>
      </w:r>
    </w:p>
    <w:sectPr w:rsidR="00076207" w:rsidRPr="00290BCA" w:rsidSect="001667B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BCA" w:rsidRDefault="00290BCA">
      <w:r>
        <w:separator/>
      </w:r>
    </w:p>
  </w:endnote>
  <w:endnote w:type="continuationSeparator" w:id="0">
    <w:p w:rsidR="00290BCA" w:rsidRDefault="00290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CA" w:rsidRDefault="00290B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CA" w:rsidRDefault="00290B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CA" w:rsidRDefault="00290B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BCA" w:rsidRDefault="00290BCA">
      <w:r>
        <w:separator/>
      </w:r>
    </w:p>
  </w:footnote>
  <w:footnote w:type="continuationSeparator" w:id="0">
    <w:p w:rsidR="00290BCA" w:rsidRDefault="00290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CA" w:rsidRDefault="00290B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CA" w:rsidRPr="001667B4" w:rsidRDefault="00290BCA" w:rsidP="001667B4">
    <w:pPr>
      <w:pStyle w:val="APAPageHeading"/>
    </w:pPr>
    <w:r>
      <w:t>CASE STUDY 4.2</w:t>
    </w:r>
    <w:r>
      <w:tab/>
    </w:r>
    <w:r w:rsidR="00845CB1">
      <w:fldChar w:fldCharType="begin"/>
    </w:r>
    <w:r>
      <w:instrText xml:space="preserve"> PAGE  \* MERGEFORMAT </w:instrText>
    </w:r>
    <w:r w:rsidR="00845CB1">
      <w:fldChar w:fldCharType="separate"/>
    </w:r>
    <w:r w:rsidR="00202584">
      <w:rPr>
        <w:noProof/>
      </w:rPr>
      <w:t>3</w:t>
    </w:r>
    <w:r w:rsidR="00845CB1">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CA" w:rsidRPr="001667B4" w:rsidRDefault="00290BCA" w:rsidP="001667B4">
    <w:pPr>
      <w:pStyle w:val="APAPageHeading"/>
    </w:pPr>
    <w:r>
      <w:t>Running head: CASE STUDY 4.2</w:t>
    </w:r>
    <w:r>
      <w:tab/>
    </w:r>
    <w:r w:rsidR="00845CB1">
      <w:fldChar w:fldCharType="begin"/>
    </w:r>
    <w:r>
      <w:instrText xml:space="preserve"> PAGE  \* MERGEFORMAT </w:instrText>
    </w:r>
    <w:r w:rsidR="00845CB1">
      <w:fldChar w:fldCharType="separate"/>
    </w:r>
    <w:r w:rsidR="00202584">
      <w:rPr>
        <w:noProof/>
      </w:rPr>
      <w:t>1</w:t>
    </w:r>
    <w:r w:rsidR="00845CB1">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CA" w:rsidRPr="001667B4" w:rsidRDefault="00290BCA" w:rsidP="001667B4">
    <w:pPr>
      <w:pStyle w:val="APAPageHeading"/>
    </w:pPr>
    <w:r>
      <w:t>CASE STUDY 4.2</w:t>
    </w:r>
    <w:r>
      <w:tab/>
    </w:r>
    <w:r w:rsidR="00845CB1">
      <w:fldChar w:fldCharType="begin"/>
    </w:r>
    <w:r>
      <w:instrText xml:space="preserve"> PAGE  \* MERGEFORMAT </w:instrText>
    </w:r>
    <w:r w:rsidR="00845CB1">
      <w:fldChar w:fldCharType="separate"/>
    </w:r>
    <w:r w:rsidR="00202584">
      <w:rPr>
        <w:noProof/>
      </w:rPr>
      <w:t>2</w:t>
    </w:r>
    <w:r w:rsidR="00845CB1">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168A3"/>
    <w:multiLevelType w:val="hybridMultilevel"/>
    <w:tmpl w:val="16307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11757510416667I0" w:val="*1,616˜1200MedLinePlus website ˜1141http://www.nlm.nih.gov/medlineplus˜"/>
    <w:docVar w:name="bmHeaderInfo" w:val="CASE STUDY 4.2"/>
    <w:docVar w:name="cIsAbstract" w:val="False"/>
    <w:docVar w:name="cPaperAPAOrMLA" w:val="1"/>
    <w:docVar w:name="cUniquePaperID" w:val="411756747222222I0"/>
    <w:docVar w:name="LastEditedVersion" w:val="7.2.6"/>
  </w:docVars>
  <w:rsids>
    <w:rsidRoot w:val="001667B4"/>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6207"/>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67B4"/>
    <w:rsid w:val="0016796B"/>
    <w:rsid w:val="001717AD"/>
    <w:rsid w:val="0017576B"/>
    <w:rsid w:val="00176B81"/>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4D4E"/>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2584"/>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0BCA"/>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79C"/>
    <w:rsid w:val="002D5B53"/>
    <w:rsid w:val="002D601A"/>
    <w:rsid w:val="002D6107"/>
    <w:rsid w:val="002D7CE6"/>
    <w:rsid w:val="002D7D98"/>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17F71"/>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12D"/>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0D2"/>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12F9"/>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5047"/>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07F"/>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08C3"/>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3DCF"/>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5C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40DF"/>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1C44"/>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038"/>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A49"/>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102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CB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5CB1"/>
    <w:pPr>
      <w:tabs>
        <w:tab w:val="center" w:pos="4320"/>
        <w:tab w:val="right" w:pos="8640"/>
      </w:tabs>
    </w:pPr>
  </w:style>
  <w:style w:type="paragraph" w:customStyle="1" w:styleId="APA">
    <w:name w:val="APA"/>
    <w:basedOn w:val="BodyText"/>
    <w:rsid w:val="00845CB1"/>
    <w:pPr>
      <w:spacing w:after="0" w:line="480" w:lineRule="auto"/>
      <w:ind w:firstLine="720"/>
    </w:pPr>
    <w:rPr>
      <w:sz w:val="24"/>
    </w:rPr>
  </w:style>
  <w:style w:type="paragraph" w:styleId="BodyText">
    <w:name w:val="Body Text"/>
    <w:basedOn w:val="Normal"/>
    <w:rsid w:val="00845CB1"/>
    <w:pPr>
      <w:spacing w:after="120"/>
    </w:pPr>
  </w:style>
  <w:style w:type="paragraph" w:styleId="Footer">
    <w:name w:val="footer"/>
    <w:basedOn w:val="Normal"/>
    <w:rsid w:val="00845CB1"/>
    <w:pPr>
      <w:tabs>
        <w:tab w:val="center" w:pos="4320"/>
        <w:tab w:val="right" w:pos="8640"/>
      </w:tabs>
    </w:pPr>
  </w:style>
  <w:style w:type="character" w:styleId="PageNumber">
    <w:name w:val="page number"/>
    <w:basedOn w:val="DefaultParagraphFont"/>
    <w:rsid w:val="00845CB1"/>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845CB1"/>
    <w:pPr>
      <w:ind w:left="720" w:firstLine="0"/>
    </w:pPr>
  </w:style>
  <w:style w:type="paragraph" w:customStyle="1" w:styleId="APABlockQuoteSubsequentPara">
    <w:name w:val="APA Block Quote Subsequent Para"/>
    <w:basedOn w:val="APA"/>
    <w:next w:val="APA"/>
    <w:rsid w:val="00845CB1"/>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845CB1"/>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845CB1"/>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2025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2C763-2241-478F-BD68-0AF91366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620</Words>
  <Characters>3429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4041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4.2</dc:title>
  <dc:subject>Copyright</dc:subject>
  <dc:creator>Kimberly Tuggle</dc:creator>
  <cp:lastModifiedBy>Mary</cp:lastModifiedBy>
  <cp:revision>2</cp:revision>
  <dcterms:created xsi:type="dcterms:W3CDTF">2012-10-05T22:39:00Z</dcterms:created>
  <dcterms:modified xsi:type="dcterms:W3CDTF">2012-10-05T22:39:00Z</dcterms:modified>
</cp:coreProperties>
</file>