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67F" w:rsidRDefault="004156F4">
      <w:pPr>
        <w:spacing w:line="480" w:lineRule="auto"/>
        <w:rPr>
          <w:sz w:val="24"/>
          <w:szCs w:val="24"/>
        </w:rPr>
      </w:pPr>
      <w:bookmarkStart w:id="0" w:name="_GoBack"/>
      <w:bookmarkEnd w:id="0"/>
      <w:r>
        <w:rPr>
          <w:sz w:val="24"/>
          <w:szCs w:val="24"/>
        </w:rPr>
        <w:t xml:space="preserve">                                                                                                                         </w:t>
      </w:r>
      <w:r>
        <w:rPr>
          <w:rStyle w:val="CommentReference"/>
        </w:rPr>
        <w:commentReference w:id="1"/>
      </w:r>
    </w:p>
    <w:p w:rsidR="00AA667F" w:rsidRDefault="00AA667F">
      <w:pPr>
        <w:spacing w:line="480" w:lineRule="auto"/>
        <w:rPr>
          <w:sz w:val="24"/>
          <w:szCs w:val="24"/>
        </w:rPr>
      </w:pPr>
    </w:p>
    <w:p w:rsidR="00AA667F" w:rsidRDefault="00AA667F">
      <w:pPr>
        <w:spacing w:line="480" w:lineRule="auto"/>
        <w:rPr>
          <w:sz w:val="24"/>
          <w:szCs w:val="24"/>
        </w:rPr>
      </w:pPr>
    </w:p>
    <w:p w:rsidR="00AA667F" w:rsidRDefault="00AA667F">
      <w:pPr>
        <w:spacing w:line="480" w:lineRule="auto"/>
        <w:rPr>
          <w:sz w:val="24"/>
          <w:szCs w:val="24"/>
        </w:rPr>
      </w:pPr>
    </w:p>
    <w:p w:rsidR="00AA667F" w:rsidRDefault="00AA667F">
      <w:pPr>
        <w:spacing w:line="480" w:lineRule="auto"/>
        <w:rPr>
          <w:sz w:val="24"/>
          <w:szCs w:val="24"/>
        </w:rPr>
      </w:pPr>
    </w:p>
    <w:p w:rsidR="00AA667F" w:rsidRDefault="00AA667F">
      <w:pPr>
        <w:spacing w:line="480" w:lineRule="auto"/>
        <w:rPr>
          <w:sz w:val="24"/>
          <w:szCs w:val="24"/>
        </w:rPr>
      </w:pPr>
    </w:p>
    <w:p w:rsidR="00AA667F" w:rsidRDefault="00AA667F">
      <w:pPr>
        <w:spacing w:line="480" w:lineRule="auto"/>
        <w:rPr>
          <w:sz w:val="24"/>
          <w:szCs w:val="24"/>
        </w:rPr>
      </w:pPr>
    </w:p>
    <w:p w:rsidR="00AA667F" w:rsidRDefault="00AA667F">
      <w:pPr>
        <w:spacing w:line="480" w:lineRule="auto"/>
        <w:rPr>
          <w:sz w:val="24"/>
          <w:szCs w:val="24"/>
        </w:rPr>
      </w:pPr>
    </w:p>
    <w:p w:rsidR="00AA667F" w:rsidRDefault="00AA667F">
      <w:pPr>
        <w:spacing w:line="480" w:lineRule="auto"/>
        <w:rPr>
          <w:sz w:val="24"/>
          <w:szCs w:val="24"/>
        </w:rPr>
      </w:pPr>
    </w:p>
    <w:p w:rsidR="00AA667F" w:rsidRDefault="00AA667F">
      <w:pPr>
        <w:spacing w:line="480" w:lineRule="auto"/>
        <w:jc w:val="center"/>
        <w:rPr>
          <w:sz w:val="24"/>
          <w:szCs w:val="24"/>
        </w:rPr>
      </w:pPr>
      <w:r>
        <w:rPr>
          <w:sz w:val="24"/>
          <w:szCs w:val="24"/>
        </w:rPr>
        <w:t>Case Study 11.4</w:t>
      </w:r>
    </w:p>
    <w:p w:rsidR="00AA667F" w:rsidRDefault="00AA667F">
      <w:pPr>
        <w:spacing w:line="480" w:lineRule="auto"/>
        <w:jc w:val="center"/>
        <w:rPr>
          <w:sz w:val="24"/>
          <w:szCs w:val="24"/>
        </w:rPr>
      </w:pPr>
      <w:r>
        <w:rPr>
          <w:sz w:val="24"/>
          <w:szCs w:val="24"/>
        </w:rPr>
        <w:t>Kate Mansfield</w:t>
      </w:r>
    </w:p>
    <w:p w:rsidR="00AA667F" w:rsidRDefault="00AA667F">
      <w:pPr>
        <w:spacing w:line="480" w:lineRule="auto"/>
        <w:jc w:val="center"/>
        <w:rPr>
          <w:sz w:val="24"/>
          <w:szCs w:val="24"/>
        </w:rPr>
      </w:pPr>
      <w:r>
        <w:rPr>
          <w:sz w:val="24"/>
          <w:szCs w:val="24"/>
        </w:rPr>
        <w:t>Lakeview College of Nursing</w:t>
      </w:r>
    </w:p>
    <w:p w:rsidR="00AA667F" w:rsidRDefault="00AA667F">
      <w:pPr>
        <w:spacing w:line="480" w:lineRule="auto"/>
        <w:rPr>
          <w:sz w:val="24"/>
          <w:szCs w:val="24"/>
        </w:rPr>
      </w:pPr>
      <w:r>
        <w:rPr>
          <w:sz w:val="24"/>
          <w:szCs w:val="24"/>
        </w:rPr>
        <w:br w:type="page"/>
      </w:r>
      <w:commentRangeStart w:id="2"/>
      <w:r>
        <w:rPr>
          <w:sz w:val="24"/>
          <w:szCs w:val="24"/>
        </w:rPr>
        <w:lastRenderedPageBreak/>
        <w:t>1</w:t>
      </w:r>
      <w:commentRangeEnd w:id="2"/>
      <w:r w:rsidR="004156F4">
        <w:rPr>
          <w:rStyle w:val="CommentReference"/>
        </w:rPr>
        <w:commentReference w:id="2"/>
      </w:r>
      <w:r>
        <w:rPr>
          <w:sz w:val="24"/>
          <w:szCs w:val="24"/>
        </w:rPr>
        <w:t>. Side effects for impastation include asthenia, headache, abdominal pain, constipation, diarrhea, dyspepsia, flatulence, nausea, vomiting</w:t>
      </w:r>
      <w:r w:rsidR="004156F4">
        <w:rPr>
          <w:sz w:val="24"/>
          <w:szCs w:val="24"/>
        </w:rPr>
        <w:t xml:space="preserve"> </w:t>
      </w:r>
      <w:proofErr w:type="spellStart"/>
      <w:r w:rsidR="004156F4">
        <w:rPr>
          <w:color w:val="FF0000"/>
          <w:sz w:val="24"/>
          <w:szCs w:val="24"/>
        </w:rPr>
        <w:t>myopathy</w:t>
      </w:r>
      <w:proofErr w:type="spellEnd"/>
      <w:r>
        <w:rPr>
          <w:sz w:val="24"/>
          <w:szCs w:val="24"/>
        </w:rPr>
        <w:t xml:space="preserve">, or upper respiratory tract infections. Chances are that </w:t>
      </w:r>
      <w:proofErr w:type="spellStart"/>
      <w:r>
        <w:rPr>
          <w:sz w:val="24"/>
          <w:szCs w:val="24"/>
        </w:rPr>
        <w:t>Gordan’s</w:t>
      </w:r>
      <w:proofErr w:type="spellEnd"/>
      <w:r>
        <w:rPr>
          <w:sz w:val="24"/>
          <w:szCs w:val="24"/>
        </w:rPr>
        <w:t xml:space="preserve"> problem is not related to his cholesterol medication, not only is it not included in the side effects, but he has also been taking this medicine for three years without problems (Nursing, 2012).</w:t>
      </w:r>
    </w:p>
    <w:p w:rsidR="00AA667F" w:rsidRDefault="00AA667F">
      <w:pPr>
        <w:spacing w:line="480" w:lineRule="auto"/>
        <w:rPr>
          <w:sz w:val="24"/>
          <w:szCs w:val="24"/>
        </w:rPr>
      </w:pPr>
      <w:r>
        <w:rPr>
          <w:sz w:val="24"/>
          <w:szCs w:val="24"/>
        </w:rPr>
        <w:t xml:space="preserve">2. Intermittent claudicating means pain when the person is walking or exercising, the pain will go away when the person it resting (Jarvis, 2011). </w:t>
      </w:r>
    </w:p>
    <w:p w:rsidR="00AA667F" w:rsidRDefault="00AA667F">
      <w:pPr>
        <w:spacing w:line="480" w:lineRule="auto"/>
        <w:rPr>
          <w:sz w:val="24"/>
          <w:szCs w:val="24"/>
        </w:rPr>
      </w:pPr>
      <w:r>
        <w:rPr>
          <w:sz w:val="24"/>
          <w:szCs w:val="24"/>
        </w:rPr>
        <w:t xml:space="preserve">3. Risk factors for peripheral vascular disease include </w:t>
      </w:r>
      <w:r w:rsidRPr="004156F4">
        <w:rPr>
          <w:color w:val="FF0000"/>
          <w:sz w:val="24"/>
          <w:szCs w:val="24"/>
        </w:rPr>
        <w:t>smoking,</w:t>
      </w:r>
      <w:r>
        <w:rPr>
          <w:sz w:val="24"/>
          <w:szCs w:val="24"/>
        </w:rPr>
        <w:t xml:space="preserve"> diabetes, obesity, high blood pressure, high cholesterol, increasing age, and family history or peripheral vascular disease, heart disease, or stroke (Mayo Clinic staff, 2010). </w:t>
      </w:r>
    </w:p>
    <w:p w:rsidR="00AA667F" w:rsidRDefault="00AA667F">
      <w:pPr>
        <w:spacing w:line="480" w:lineRule="auto"/>
        <w:rPr>
          <w:sz w:val="24"/>
          <w:szCs w:val="24"/>
        </w:rPr>
      </w:pPr>
      <w:r>
        <w:rPr>
          <w:sz w:val="24"/>
          <w:szCs w:val="24"/>
        </w:rPr>
        <w:t xml:space="preserve">4. Peripheral vascular disease is usually caused by arteriosclerosis, which basically means the </w:t>
      </w:r>
      <w:proofErr w:type="gramStart"/>
      <w:r>
        <w:rPr>
          <w:sz w:val="24"/>
          <w:szCs w:val="24"/>
        </w:rPr>
        <w:t>arteries,</w:t>
      </w:r>
      <w:proofErr w:type="gramEnd"/>
      <w:r>
        <w:rPr>
          <w:sz w:val="24"/>
          <w:szCs w:val="24"/>
        </w:rPr>
        <w:t xml:space="preserve"> start to become clogged with plaque or fat, making the space narrower for the blood to flow through. If not treated, the artery could become completely occluded which could ultimately result in loss of that limb (Stevens, 2010). </w:t>
      </w:r>
    </w:p>
    <w:p w:rsidR="00AA667F" w:rsidRPr="004156F4" w:rsidRDefault="00AA667F">
      <w:pPr>
        <w:spacing w:line="480" w:lineRule="auto"/>
        <w:rPr>
          <w:color w:val="FF0000"/>
          <w:sz w:val="24"/>
          <w:szCs w:val="24"/>
        </w:rPr>
      </w:pPr>
      <w:r>
        <w:rPr>
          <w:sz w:val="24"/>
          <w:szCs w:val="24"/>
        </w:rPr>
        <w:t xml:space="preserve">5. A bruit indicates turbulence </w:t>
      </w:r>
      <w:proofErr w:type="gramStart"/>
      <w:r>
        <w:rPr>
          <w:sz w:val="24"/>
          <w:szCs w:val="24"/>
        </w:rPr>
        <w:t>of  blood</w:t>
      </w:r>
      <w:proofErr w:type="gramEnd"/>
      <w:r>
        <w:rPr>
          <w:sz w:val="24"/>
          <w:szCs w:val="24"/>
        </w:rPr>
        <w:t xml:space="preserve"> flow (Jarvis, 2011). </w:t>
      </w:r>
      <w:r w:rsidR="004156F4">
        <w:rPr>
          <w:color w:val="FF0000"/>
          <w:sz w:val="24"/>
          <w:szCs w:val="24"/>
        </w:rPr>
        <w:t>Swooshing sound</w:t>
      </w:r>
    </w:p>
    <w:p w:rsidR="00AA667F" w:rsidRDefault="00AA667F">
      <w:pPr>
        <w:spacing w:line="480" w:lineRule="auto"/>
        <w:rPr>
          <w:sz w:val="24"/>
          <w:szCs w:val="24"/>
        </w:rPr>
      </w:pPr>
      <w:r>
        <w:rPr>
          <w:sz w:val="24"/>
          <w:szCs w:val="24"/>
        </w:rPr>
        <w:t xml:space="preserve">6. “The Ankle-Brachial Index (ABI) is a screening tool used to 1) detect asymptomatic arterial disease in the legs to prevent progression to claudication or limb ischemia; and 2) detect individuals at high risk of cardiovascular events.  The ABI is the ratio of systolic </w:t>
      </w:r>
    </w:p>
    <w:p w:rsidR="00AA667F" w:rsidRDefault="00AA667F">
      <w:pPr>
        <w:spacing w:line="480" w:lineRule="auto"/>
        <w:rPr>
          <w:sz w:val="24"/>
          <w:szCs w:val="24"/>
        </w:rPr>
      </w:pPr>
      <w:proofErr w:type="gramStart"/>
      <w:r>
        <w:rPr>
          <w:sz w:val="24"/>
          <w:szCs w:val="24"/>
        </w:rPr>
        <w:t>blood</w:t>
      </w:r>
      <w:proofErr w:type="gramEnd"/>
      <w:r>
        <w:rPr>
          <w:sz w:val="24"/>
          <w:szCs w:val="24"/>
        </w:rPr>
        <w:t xml:space="preserve"> pressure at the ankle to that in the arm.  It is measured with the patient supine using a sphygmomanometer and Doppler ultrasound probe. Systolic pressure is measured in both arms and at the posterior </w:t>
      </w:r>
      <w:proofErr w:type="spellStart"/>
      <w:r>
        <w:rPr>
          <w:sz w:val="24"/>
          <w:szCs w:val="24"/>
        </w:rPr>
        <w:t>tibial</w:t>
      </w:r>
      <w:proofErr w:type="spellEnd"/>
      <w:r>
        <w:rPr>
          <w:sz w:val="24"/>
          <w:szCs w:val="24"/>
        </w:rPr>
        <w:t xml:space="preserve"> and </w:t>
      </w:r>
      <w:proofErr w:type="spellStart"/>
      <w:r>
        <w:rPr>
          <w:sz w:val="24"/>
          <w:szCs w:val="24"/>
        </w:rPr>
        <w:t>dorsalis</w:t>
      </w:r>
      <w:proofErr w:type="spellEnd"/>
      <w:r>
        <w:rPr>
          <w:sz w:val="24"/>
          <w:szCs w:val="24"/>
        </w:rPr>
        <w:t xml:space="preserve"> </w:t>
      </w:r>
      <w:proofErr w:type="spellStart"/>
      <w:r>
        <w:rPr>
          <w:sz w:val="24"/>
          <w:szCs w:val="24"/>
        </w:rPr>
        <w:t>pedis</w:t>
      </w:r>
      <w:proofErr w:type="spellEnd"/>
      <w:r>
        <w:rPr>
          <w:sz w:val="24"/>
          <w:szCs w:val="24"/>
        </w:rPr>
        <w:t xml:space="preserve"> arteries in each ankle. The ABI is calculated as the higher pressure at the ankle divided by the higher of the left and right arm pressures. An ABI ratio above 0.90 is normal, 0.71-0.90 indicates mild obstruction, </w:t>
      </w:r>
      <w:r>
        <w:rPr>
          <w:sz w:val="24"/>
          <w:szCs w:val="24"/>
        </w:rPr>
        <w:lastRenderedPageBreak/>
        <w:t xml:space="preserve">0.41-0.70 indicates moderate obstruction, and &lt;0.40 indicates severe obstruction.” </w:t>
      </w:r>
      <w:proofErr w:type="gramStart"/>
      <w:r>
        <w:rPr>
          <w:sz w:val="24"/>
          <w:szCs w:val="24"/>
        </w:rPr>
        <w:t>(Coke, 2010).</w:t>
      </w:r>
      <w:proofErr w:type="gramEnd"/>
      <w:r>
        <w:rPr>
          <w:sz w:val="24"/>
          <w:szCs w:val="24"/>
        </w:rPr>
        <w:t xml:space="preserve"> It can be helpful in assessing the elderly because they are at an increased risk for peripheral vascular disease, so it is important to know if they are having adequate blood flow to the exteriors. </w:t>
      </w:r>
    </w:p>
    <w:p w:rsidR="00AA667F" w:rsidRDefault="00AA667F">
      <w:pPr>
        <w:spacing w:line="480" w:lineRule="auto"/>
        <w:rPr>
          <w:sz w:val="24"/>
          <w:szCs w:val="24"/>
        </w:rPr>
      </w:pPr>
      <w:r>
        <w:rPr>
          <w:sz w:val="24"/>
          <w:szCs w:val="24"/>
        </w:rPr>
        <w:t xml:space="preserve">7. I might recommend that he Gordon </w:t>
      </w:r>
      <w:r w:rsidRPr="004156F4">
        <w:rPr>
          <w:color w:val="FF0000"/>
          <w:sz w:val="24"/>
          <w:szCs w:val="24"/>
        </w:rPr>
        <w:t>stop smoking</w:t>
      </w:r>
      <w:r>
        <w:rPr>
          <w:sz w:val="24"/>
          <w:szCs w:val="24"/>
        </w:rPr>
        <w:t xml:space="preserve">, and work on lowering his blood pressure. I also might suggest a change in diet to help him lower his cholesterol, even though he </w:t>
      </w:r>
      <w:proofErr w:type="spellStart"/>
      <w:r>
        <w:rPr>
          <w:sz w:val="24"/>
          <w:szCs w:val="24"/>
        </w:rPr>
        <w:t>his</w:t>
      </w:r>
      <w:proofErr w:type="spellEnd"/>
      <w:r>
        <w:rPr>
          <w:sz w:val="24"/>
          <w:szCs w:val="24"/>
        </w:rPr>
        <w:t xml:space="preserve"> still his medication. Exercise would also benefit Gordon. </w:t>
      </w:r>
    </w:p>
    <w:p w:rsidR="00AA667F" w:rsidRDefault="00AA667F">
      <w:pPr>
        <w:spacing w:line="480" w:lineRule="auto"/>
        <w:rPr>
          <w:sz w:val="24"/>
          <w:szCs w:val="24"/>
        </w:rPr>
      </w:pPr>
      <w:r>
        <w:rPr>
          <w:sz w:val="24"/>
          <w:szCs w:val="24"/>
        </w:rPr>
        <w:t xml:space="preserve">8. Gordon would definitely benefit from using a medication that would lower is blood pressure, such as an ACE inhibitor or an </w:t>
      </w:r>
      <w:proofErr w:type="spellStart"/>
      <w:r>
        <w:rPr>
          <w:sz w:val="24"/>
          <w:szCs w:val="24"/>
        </w:rPr>
        <w:t>angiotension</w:t>
      </w:r>
      <w:proofErr w:type="spellEnd"/>
      <w:r>
        <w:rPr>
          <w:sz w:val="24"/>
          <w:szCs w:val="24"/>
        </w:rPr>
        <w:t xml:space="preserve"> II blocker. </w:t>
      </w:r>
    </w:p>
    <w:p w:rsidR="004156F4" w:rsidRPr="004156F4" w:rsidRDefault="004156F4" w:rsidP="004156F4">
      <w:pPr>
        <w:widowControl/>
        <w:overflowPunct/>
        <w:rPr>
          <w:color w:val="FF0000"/>
          <w:sz w:val="24"/>
          <w:szCs w:val="24"/>
        </w:rPr>
      </w:pPr>
      <w:r>
        <w:rPr>
          <w:sz w:val="24"/>
          <w:szCs w:val="24"/>
        </w:rPr>
        <w:t xml:space="preserve">  </w:t>
      </w:r>
      <w:r w:rsidRPr="004156F4">
        <w:rPr>
          <w:rFonts w:ascii="ITCGaramondStd-Bk" w:hAnsi="ITCGaramondStd-Bk" w:cs="ITCGaramondStd-Bk"/>
          <w:color w:val="FF0000"/>
          <w:kern w:val="0"/>
        </w:rPr>
        <w:t>It is also important to control the risk of blood clots. Gordon could benefit from daily low-dose aspirin (81 mg) or a prescription anticoagulant.</w:t>
      </w:r>
    </w:p>
    <w:p w:rsidR="004156F4" w:rsidRDefault="004156F4">
      <w:pPr>
        <w:spacing w:line="480" w:lineRule="auto"/>
        <w:rPr>
          <w:sz w:val="24"/>
          <w:szCs w:val="24"/>
        </w:rPr>
      </w:pPr>
    </w:p>
    <w:p w:rsidR="00AA667F" w:rsidRDefault="00AA667F">
      <w:pPr>
        <w:spacing w:line="480" w:lineRule="auto"/>
        <w:rPr>
          <w:sz w:val="24"/>
          <w:szCs w:val="24"/>
        </w:rPr>
      </w:pPr>
      <w:r>
        <w:rPr>
          <w:sz w:val="24"/>
          <w:szCs w:val="24"/>
        </w:rPr>
        <w:t xml:space="preserve">9. If </w:t>
      </w:r>
      <w:proofErr w:type="spellStart"/>
      <w:r>
        <w:rPr>
          <w:sz w:val="24"/>
          <w:szCs w:val="24"/>
        </w:rPr>
        <w:t>claudification</w:t>
      </w:r>
      <w:proofErr w:type="spellEnd"/>
      <w:r>
        <w:rPr>
          <w:sz w:val="24"/>
          <w:szCs w:val="24"/>
        </w:rPr>
        <w:t xml:space="preserve"> happens every time he walks, if his legs continue to become cold and dry, or if the skin starts to die at the bottom of his foot could also indicate that the disease is progressing (Stevens, 2010).</w:t>
      </w:r>
    </w:p>
    <w:p w:rsidR="00AA667F" w:rsidRPr="004156F4" w:rsidRDefault="004156F4" w:rsidP="004156F4">
      <w:pPr>
        <w:widowControl/>
        <w:overflowPunct/>
        <w:rPr>
          <w:color w:val="FF0000"/>
          <w:sz w:val="24"/>
          <w:szCs w:val="24"/>
        </w:rPr>
      </w:pPr>
      <w:r w:rsidRPr="004156F4">
        <w:rPr>
          <w:rFonts w:ascii="ITCGaramondStd-Bk" w:hAnsi="ITCGaramondStd-Bk" w:cs="ITCGaramondStd-Bk"/>
          <w:color w:val="FF0000"/>
          <w:kern w:val="0"/>
        </w:rPr>
        <w:t>Gordon should be vigilant about foot care. Any wounds or infections should receive immediate care as he is at risk for severe infections, such as gangrene</w:t>
      </w:r>
      <w:r w:rsidR="00AA667F">
        <w:rPr>
          <w:sz w:val="24"/>
          <w:szCs w:val="24"/>
        </w:rPr>
        <w:br w:type="page"/>
      </w:r>
      <w:r w:rsidR="00AA667F">
        <w:rPr>
          <w:sz w:val="24"/>
          <w:szCs w:val="24"/>
        </w:rPr>
        <w:lastRenderedPageBreak/>
        <w:t>Resources:</w:t>
      </w:r>
      <w:r>
        <w:rPr>
          <w:sz w:val="24"/>
          <w:szCs w:val="24"/>
        </w:rPr>
        <w:t xml:space="preserve">                                               </w:t>
      </w:r>
      <w:r>
        <w:rPr>
          <w:color w:val="FF0000"/>
          <w:sz w:val="24"/>
          <w:szCs w:val="24"/>
        </w:rPr>
        <w:t>References</w:t>
      </w:r>
    </w:p>
    <w:p w:rsidR="00AA667F" w:rsidRDefault="00AA667F">
      <w:pPr>
        <w:spacing w:line="480" w:lineRule="auto"/>
        <w:ind w:left="720" w:hanging="720"/>
        <w:rPr>
          <w:sz w:val="24"/>
          <w:szCs w:val="24"/>
        </w:rPr>
      </w:pPr>
      <w:r>
        <w:rPr>
          <w:sz w:val="24"/>
          <w:szCs w:val="24"/>
        </w:rPr>
        <w:t xml:space="preserve">Coke, L.A. (2010). </w:t>
      </w:r>
      <w:r>
        <w:rPr>
          <w:i/>
          <w:iCs/>
          <w:sz w:val="24"/>
          <w:szCs w:val="24"/>
        </w:rPr>
        <w:t xml:space="preserve">Vascular risk assessment of the older cardiovascular </w:t>
      </w:r>
      <w:proofErr w:type="spellStart"/>
      <w:r>
        <w:rPr>
          <w:i/>
          <w:iCs/>
          <w:sz w:val="24"/>
          <w:szCs w:val="24"/>
        </w:rPr>
        <w:t>paitient</w:t>
      </w:r>
      <w:proofErr w:type="spellEnd"/>
      <w:r>
        <w:rPr>
          <w:i/>
          <w:iCs/>
          <w:sz w:val="24"/>
          <w:szCs w:val="24"/>
        </w:rPr>
        <w:t xml:space="preserve">: The ankle-brachial index (ABI). </w:t>
      </w:r>
      <w:r>
        <w:rPr>
          <w:sz w:val="24"/>
          <w:szCs w:val="24"/>
        </w:rPr>
        <w:t xml:space="preserve"> </w:t>
      </w:r>
      <w:proofErr w:type="gramStart"/>
      <w:r>
        <w:rPr>
          <w:sz w:val="24"/>
          <w:szCs w:val="24"/>
        </w:rPr>
        <w:t>Hartford institute of Geriatric Nursing.</w:t>
      </w:r>
      <w:proofErr w:type="gramEnd"/>
      <w:r>
        <w:rPr>
          <w:sz w:val="24"/>
          <w:szCs w:val="24"/>
        </w:rPr>
        <w:t xml:space="preserve"> </w:t>
      </w:r>
      <w:proofErr w:type="gramStart"/>
      <w:r>
        <w:rPr>
          <w:sz w:val="24"/>
          <w:szCs w:val="24"/>
        </w:rPr>
        <w:t xml:space="preserve">Retrieved form </w:t>
      </w:r>
      <w:hyperlink r:id="rId7" w:history="1">
        <w:r>
          <w:rPr>
            <w:color w:val="0000FF"/>
            <w:sz w:val="24"/>
            <w:szCs w:val="24"/>
            <w:u w:val="single"/>
          </w:rPr>
          <w:t>http://consultgerirn.org</w:t>
        </w:r>
      </w:hyperlink>
      <w:r>
        <w:rPr>
          <w:sz w:val="24"/>
          <w:szCs w:val="24"/>
        </w:rPr>
        <w:t>.</w:t>
      </w:r>
      <w:proofErr w:type="gramEnd"/>
      <w:r>
        <w:rPr>
          <w:sz w:val="24"/>
          <w:szCs w:val="24"/>
        </w:rPr>
        <w:t xml:space="preserve"> </w:t>
      </w:r>
    </w:p>
    <w:p w:rsidR="00AA667F" w:rsidRDefault="00AA667F">
      <w:pPr>
        <w:spacing w:line="480" w:lineRule="auto"/>
        <w:ind w:left="720" w:hanging="720"/>
        <w:rPr>
          <w:sz w:val="24"/>
          <w:szCs w:val="24"/>
        </w:rPr>
      </w:pPr>
      <w:r>
        <w:rPr>
          <w:sz w:val="24"/>
          <w:szCs w:val="24"/>
        </w:rPr>
        <w:t xml:space="preserve">Stevens, E. (2010). </w:t>
      </w:r>
      <w:proofErr w:type="gramStart"/>
      <w:r>
        <w:rPr>
          <w:i/>
          <w:iCs/>
          <w:sz w:val="24"/>
          <w:szCs w:val="24"/>
        </w:rPr>
        <w:t>Peripheral vascular disease.</w:t>
      </w:r>
      <w:proofErr w:type="gramEnd"/>
      <w:r>
        <w:rPr>
          <w:i/>
          <w:iCs/>
          <w:sz w:val="24"/>
          <w:szCs w:val="24"/>
        </w:rPr>
        <w:t xml:space="preserve"> </w:t>
      </w:r>
      <w:r>
        <w:rPr>
          <w:sz w:val="24"/>
          <w:szCs w:val="24"/>
        </w:rPr>
        <w:t xml:space="preserve">Medscape Reference. </w:t>
      </w:r>
      <w:proofErr w:type="gramStart"/>
      <w:r>
        <w:rPr>
          <w:sz w:val="24"/>
          <w:szCs w:val="24"/>
        </w:rPr>
        <w:t xml:space="preserve">Retrieved from </w:t>
      </w:r>
      <w:hyperlink r:id="rId8" w:history="1">
        <w:r>
          <w:rPr>
            <w:color w:val="0000FF"/>
            <w:sz w:val="24"/>
            <w:szCs w:val="24"/>
            <w:u w:val="single"/>
          </w:rPr>
          <w:t>http://emedicine.medscape.com/article/761556-overview#a0101</w:t>
        </w:r>
      </w:hyperlink>
      <w:r>
        <w:rPr>
          <w:sz w:val="24"/>
          <w:szCs w:val="24"/>
        </w:rPr>
        <w:t>.</w:t>
      </w:r>
      <w:proofErr w:type="gramEnd"/>
      <w:r>
        <w:rPr>
          <w:sz w:val="24"/>
          <w:szCs w:val="24"/>
        </w:rPr>
        <w:t xml:space="preserve"> </w:t>
      </w:r>
    </w:p>
    <w:p w:rsidR="00AA667F" w:rsidRDefault="00AA667F">
      <w:pPr>
        <w:spacing w:line="480" w:lineRule="auto"/>
        <w:ind w:left="720" w:hanging="720"/>
        <w:rPr>
          <w:sz w:val="24"/>
          <w:szCs w:val="24"/>
        </w:rPr>
      </w:pPr>
      <w:r>
        <w:rPr>
          <w:sz w:val="24"/>
          <w:szCs w:val="24"/>
        </w:rPr>
        <w:t xml:space="preserve">(2012). Nursing 2012 drug handbook. New York, NY: </w:t>
      </w:r>
      <w:proofErr w:type="spellStart"/>
      <w:r>
        <w:rPr>
          <w:sz w:val="24"/>
          <w:szCs w:val="24"/>
        </w:rPr>
        <w:t>Lippocott</w:t>
      </w:r>
      <w:proofErr w:type="spellEnd"/>
      <w:r>
        <w:rPr>
          <w:sz w:val="24"/>
          <w:szCs w:val="24"/>
        </w:rPr>
        <w:t xml:space="preserve"> Williams and Wilkins. </w:t>
      </w:r>
    </w:p>
    <w:p w:rsidR="00AA667F" w:rsidRDefault="00AA667F">
      <w:pPr>
        <w:spacing w:line="480" w:lineRule="auto"/>
        <w:ind w:left="720" w:hanging="720"/>
        <w:rPr>
          <w:sz w:val="24"/>
          <w:szCs w:val="24"/>
        </w:rPr>
      </w:pPr>
      <w:r>
        <w:rPr>
          <w:sz w:val="24"/>
          <w:szCs w:val="24"/>
        </w:rPr>
        <w:t>Jarvis, C. (2011). Ph</w:t>
      </w:r>
      <w:r>
        <w:rPr>
          <w:i/>
          <w:iCs/>
          <w:sz w:val="24"/>
          <w:szCs w:val="24"/>
        </w:rPr>
        <w:t>ysical examination and health assessment</w:t>
      </w:r>
      <w:r w:rsidR="004156F4">
        <w:rPr>
          <w:i/>
          <w:iCs/>
          <w:sz w:val="24"/>
          <w:szCs w:val="24"/>
        </w:rPr>
        <w:t xml:space="preserve"> </w:t>
      </w:r>
      <w:r w:rsidR="004156F4">
        <w:rPr>
          <w:i/>
          <w:iCs/>
          <w:color w:val="FF0000"/>
          <w:sz w:val="24"/>
          <w:szCs w:val="24"/>
        </w:rPr>
        <w:t>(edition?)</w:t>
      </w:r>
      <w:r>
        <w:rPr>
          <w:sz w:val="24"/>
          <w:szCs w:val="24"/>
        </w:rPr>
        <w:t xml:space="preserve">St. Louis: Elsevier Saunders. </w:t>
      </w:r>
    </w:p>
    <w:p w:rsidR="00AA667F" w:rsidRDefault="00AA667F">
      <w:pPr>
        <w:spacing w:line="480" w:lineRule="auto"/>
        <w:ind w:left="720" w:hanging="720"/>
        <w:rPr>
          <w:sz w:val="24"/>
          <w:szCs w:val="24"/>
        </w:rPr>
      </w:pPr>
    </w:p>
    <w:p w:rsidR="00944184" w:rsidRDefault="00AA667F" w:rsidP="00AA667F">
      <w:pPr>
        <w:spacing w:line="480" w:lineRule="auto"/>
      </w:pPr>
      <w:r>
        <w:rPr>
          <w:sz w:val="24"/>
          <w:szCs w:val="24"/>
        </w:rPr>
        <w:t xml:space="preserve"> </w:t>
      </w:r>
    </w:p>
    <w:sectPr w:rsidR="00944184" w:rsidSect="00AA667F">
      <w:headerReference w:type="default" r:id="rId9"/>
      <w:footerReference w:type="default" r:id="rId10"/>
      <w:pgSz w:w="12240" w:h="15840"/>
      <w:pgMar w:top="1440" w:right="1800" w:bottom="1440" w:left="1800" w:header="720" w:footer="864" w:gutter="0"/>
      <w:pgNumType w:start="1"/>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y" w:date="2012-02-01T22:16:00Z" w:initials="M">
    <w:p w:rsidR="004156F4" w:rsidRDefault="004156F4">
      <w:pPr>
        <w:pStyle w:val="CommentText"/>
      </w:pPr>
      <w:r>
        <w:rPr>
          <w:rStyle w:val="CommentReference"/>
        </w:rPr>
        <w:annotationRef/>
      </w:r>
      <w:r>
        <w:t>Page number here not name</w:t>
      </w:r>
    </w:p>
  </w:comment>
  <w:comment w:id="2" w:author="Mary" w:date="2012-02-01T22:18:00Z" w:initials="M">
    <w:p w:rsidR="004156F4" w:rsidRDefault="004156F4">
      <w:pPr>
        <w:pStyle w:val="CommentText"/>
      </w:pPr>
      <w:r>
        <w:rPr>
          <w:rStyle w:val="CommentReference"/>
        </w:rPr>
        <w:annotationRef/>
      </w:r>
      <w:r>
        <w:t>You header should only be the second part</w:t>
      </w:r>
      <w:proofErr w:type="gramStart"/>
      <w:r>
        <w:t>..leave</w:t>
      </w:r>
      <w:proofErr w:type="gramEnd"/>
      <w:r>
        <w:t xml:space="preserve"> off the running head  and where are your page numbers or this page needs a </w:t>
      </w:r>
      <w:proofErr w:type="spellStart"/>
      <w:r>
        <w:t>titile</w:t>
      </w:r>
      <w:proofErr w:type="spell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3D6" w:rsidRDefault="00EB23D6" w:rsidP="00AA667F">
      <w:r>
        <w:separator/>
      </w:r>
    </w:p>
  </w:endnote>
  <w:endnote w:type="continuationSeparator" w:id="0">
    <w:p w:rsidR="00EB23D6" w:rsidRDefault="00EB23D6" w:rsidP="00AA66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67F" w:rsidRDefault="00AA667F">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3D6" w:rsidRDefault="00EB23D6" w:rsidP="00AA667F">
      <w:r>
        <w:separator/>
      </w:r>
    </w:p>
  </w:footnote>
  <w:footnote w:type="continuationSeparator" w:id="0">
    <w:p w:rsidR="00EB23D6" w:rsidRDefault="00EB23D6" w:rsidP="00AA66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ED9" w:rsidRDefault="00C40ED9">
    <w:pPr>
      <w:pStyle w:val="Header"/>
    </w:pPr>
    <w:r>
      <w:t>Running head: CASE STUDY 11.4</w:t>
    </w:r>
    <w:r>
      <w:tab/>
    </w:r>
    <w:r>
      <w:tab/>
      <w:t>Mansfield</w:t>
    </w:r>
  </w:p>
  <w:p w:rsidR="00AA667F" w:rsidRDefault="00AA667F">
    <w:pPr>
      <w:tabs>
        <w:tab w:val="center" w:pos="4320"/>
        <w:tab w:val="right" w:pos="8640"/>
      </w:tabs>
      <w:rPr>
        <w:kern w:val="0"/>
      </w:rPr>
    </w:pPr>
  </w:p>
  <w:p w:rsidR="00C40ED9" w:rsidRDefault="00C40ED9"/>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docVars>
    <w:docVar w:name="ColorPos" w:val="-1"/>
    <w:docVar w:name="ColorSet" w:val="-1"/>
    <w:docVar w:name="StylePos" w:val="-1"/>
    <w:docVar w:name="StyleSet" w:val="-1"/>
  </w:docVars>
  <w:rsids>
    <w:rsidRoot w:val="00AA667F"/>
    <w:rsid w:val="004156F4"/>
    <w:rsid w:val="00944184"/>
    <w:rsid w:val="00AA667F"/>
    <w:rsid w:val="00C40ED9"/>
    <w:rsid w:val="00DD49E7"/>
    <w:rsid w:val="00EB23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184"/>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ED9"/>
    <w:pPr>
      <w:tabs>
        <w:tab w:val="center" w:pos="4680"/>
        <w:tab w:val="right" w:pos="9360"/>
      </w:tabs>
    </w:pPr>
  </w:style>
  <w:style w:type="character" w:customStyle="1" w:styleId="HeaderChar">
    <w:name w:val="Header Char"/>
    <w:link w:val="Header"/>
    <w:uiPriority w:val="99"/>
    <w:rsid w:val="00C40ED9"/>
    <w:rPr>
      <w:rFonts w:ascii="Times New Roman" w:hAnsi="Times New Roman" w:cs="Times New Roman"/>
      <w:kern w:val="28"/>
      <w:sz w:val="20"/>
      <w:szCs w:val="20"/>
    </w:rPr>
  </w:style>
  <w:style w:type="paragraph" w:styleId="Footer">
    <w:name w:val="footer"/>
    <w:basedOn w:val="Normal"/>
    <w:link w:val="FooterChar"/>
    <w:uiPriority w:val="99"/>
    <w:unhideWhenUsed/>
    <w:rsid w:val="00C40ED9"/>
    <w:pPr>
      <w:tabs>
        <w:tab w:val="center" w:pos="4680"/>
        <w:tab w:val="right" w:pos="9360"/>
      </w:tabs>
    </w:pPr>
  </w:style>
  <w:style w:type="character" w:customStyle="1" w:styleId="FooterChar">
    <w:name w:val="Footer Char"/>
    <w:link w:val="Footer"/>
    <w:uiPriority w:val="99"/>
    <w:rsid w:val="00C40ED9"/>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C40ED9"/>
    <w:rPr>
      <w:rFonts w:ascii="Tahoma" w:hAnsi="Tahoma" w:cs="Tahoma"/>
      <w:sz w:val="16"/>
      <w:szCs w:val="16"/>
    </w:rPr>
  </w:style>
  <w:style w:type="character" w:customStyle="1" w:styleId="BalloonTextChar">
    <w:name w:val="Balloon Text Char"/>
    <w:link w:val="BalloonText"/>
    <w:uiPriority w:val="99"/>
    <w:semiHidden/>
    <w:rsid w:val="00C40ED9"/>
    <w:rPr>
      <w:rFonts w:ascii="Tahoma" w:hAnsi="Tahoma" w:cs="Tahoma"/>
      <w:kern w:val="28"/>
      <w:sz w:val="16"/>
      <w:szCs w:val="16"/>
    </w:rPr>
  </w:style>
  <w:style w:type="character" w:styleId="CommentReference">
    <w:name w:val="annotation reference"/>
    <w:basedOn w:val="DefaultParagraphFont"/>
    <w:uiPriority w:val="99"/>
    <w:semiHidden/>
    <w:unhideWhenUsed/>
    <w:rsid w:val="004156F4"/>
    <w:rPr>
      <w:sz w:val="16"/>
      <w:szCs w:val="16"/>
    </w:rPr>
  </w:style>
  <w:style w:type="paragraph" w:styleId="CommentText">
    <w:name w:val="annotation text"/>
    <w:basedOn w:val="Normal"/>
    <w:link w:val="CommentTextChar"/>
    <w:uiPriority w:val="99"/>
    <w:semiHidden/>
    <w:unhideWhenUsed/>
    <w:rsid w:val="004156F4"/>
  </w:style>
  <w:style w:type="character" w:customStyle="1" w:styleId="CommentTextChar">
    <w:name w:val="Comment Text Char"/>
    <w:basedOn w:val="DefaultParagraphFont"/>
    <w:link w:val="CommentText"/>
    <w:uiPriority w:val="99"/>
    <w:semiHidden/>
    <w:rsid w:val="004156F4"/>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4156F4"/>
    <w:rPr>
      <w:b/>
      <w:bCs/>
    </w:rPr>
  </w:style>
  <w:style w:type="character" w:customStyle="1" w:styleId="CommentSubjectChar">
    <w:name w:val="Comment Subject Char"/>
    <w:basedOn w:val="CommentTextChar"/>
    <w:link w:val="CommentSubject"/>
    <w:uiPriority w:val="99"/>
    <w:semiHidden/>
    <w:rsid w:val="004156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ED9"/>
    <w:pPr>
      <w:tabs>
        <w:tab w:val="center" w:pos="4680"/>
        <w:tab w:val="right" w:pos="9360"/>
      </w:tabs>
    </w:pPr>
  </w:style>
  <w:style w:type="character" w:customStyle="1" w:styleId="HeaderChar">
    <w:name w:val="Header Char"/>
    <w:link w:val="Header"/>
    <w:uiPriority w:val="99"/>
    <w:rsid w:val="00C40ED9"/>
    <w:rPr>
      <w:rFonts w:ascii="Times New Roman" w:hAnsi="Times New Roman" w:cs="Times New Roman"/>
      <w:kern w:val="28"/>
      <w:sz w:val="20"/>
      <w:szCs w:val="20"/>
    </w:rPr>
  </w:style>
  <w:style w:type="paragraph" w:styleId="Footer">
    <w:name w:val="footer"/>
    <w:basedOn w:val="Normal"/>
    <w:link w:val="FooterChar"/>
    <w:uiPriority w:val="99"/>
    <w:unhideWhenUsed/>
    <w:rsid w:val="00C40ED9"/>
    <w:pPr>
      <w:tabs>
        <w:tab w:val="center" w:pos="4680"/>
        <w:tab w:val="right" w:pos="9360"/>
      </w:tabs>
    </w:pPr>
  </w:style>
  <w:style w:type="character" w:customStyle="1" w:styleId="FooterChar">
    <w:name w:val="Footer Char"/>
    <w:link w:val="Footer"/>
    <w:uiPriority w:val="99"/>
    <w:rsid w:val="00C40ED9"/>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C40ED9"/>
    <w:rPr>
      <w:rFonts w:ascii="Tahoma" w:hAnsi="Tahoma" w:cs="Tahoma"/>
      <w:sz w:val="16"/>
      <w:szCs w:val="16"/>
    </w:rPr>
  </w:style>
  <w:style w:type="character" w:customStyle="1" w:styleId="BalloonTextChar">
    <w:name w:val="Balloon Text Char"/>
    <w:link w:val="BalloonText"/>
    <w:uiPriority w:val="99"/>
    <w:semiHidden/>
    <w:rsid w:val="00C40ED9"/>
    <w:rPr>
      <w:rFonts w:ascii="Tahoma" w:hAnsi="Tahoma" w:cs="Tahoma"/>
      <w:kern w:val="28"/>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edicine.medscape.com/article/761556-overview%20\%20a0101"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consultgerirn.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ltslab</dc:creator>
  <cp:lastModifiedBy>Mary</cp:lastModifiedBy>
  <cp:revision>2</cp:revision>
  <dcterms:created xsi:type="dcterms:W3CDTF">2012-02-02T04:24:00Z</dcterms:created>
  <dcterms:modified xsi:type="dcterms:W3CDTF">2012-02-02T04:24:00Z</dcterms:modified>
</cp:coreProperties>
</file>