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1E" w:rsidRDefault="009B2F1E" w:rsidP="005800C7">
      <w:pPr>
        <w:pStyle w:val="APA"/>
        <w:ind w:firstLine="0"/>
      </w:pPr>
    </w:p>
    <w:p w:rsidR="009B2F1E" w:rsidRDefault="009B2F1E" w:rsidP="009B2F1E">
      <w:pPr>
        <w:pStyle w:val="APA"/>
      </w:pPr>
    </w:p>
    <w:p w:rsidR="009B2F1E" w:rsidRDefault="009B2F1E" w:rsidP="009B2F1E">
      <w:pPr>
        <w:pStyle w:val="APA"/>
      </w:pPr>
    </w:p>
    <w:p w:rsidR="009B2F1E" w:rsidRDefault="009B2F1E" w:rsidP="009B2F1E">
      <w:pPr>
        <w:pStyle w:val="APAHeadingCenter"/>
      </w:pPr>
      <w:bookmarkStart w:id="0" w:name="bmTitlePageTitle"/>
      <w:r>
        <w:t>Case Study 13-8</w:t>
      </w:r>
      <w:bookmarkEnd w:id="0"/>
    </w:p>
    <w:p w:rsidR="009B2F1E" w:rsidRDefault="009B2F1E" w:rsidP="009B2F1E">
      <w:pPr>
        <w:pStyle w:val="APAHeadingCenter"/>
      </w:pPr>
      <w:bookmarkStart w:id="1" w:name="bmTitlePageName"/>
      <w:r>
        <w:t>Kimberly Lindsay</w:t>
      </w:r>
      <w:bookmarkEnd w:id="1"/>
    </w:p>
    <w:p w:rsidR="009B2F1E" w:rsidRDefault="009B2F1E" w:rsidP="009B2F1E">
      <w:pPr>
        <w:pStyle w:val="APAHeadingCenter"/>
      </w:pPr>
      <w:bookmarkStart w:id="2" w:name="bmTitlePageInst"/>
      <w:r>
        <w:t>Lakeview college of Nursing</w:t>
      </w:r>
      <w:bookmarkEnd w:id="2"/>
    </w:p>
    <w:p w:rsidR="009B2F1E" w:rsidRDefault="009B2F1E" w:rsidP="009B2F1E">
      <w:pPr>
        <w:pStyle w:val="APAHeadingCenter"/>
      </w:pPr>
      <w:bookmarkStart w:id="3" w:name="bmTitleAdd1"/>
      <w:bookmarkEnd w:id="3"/>
    </w:p>
    <w:p w:rsidR="009B2F1E" w:rsidRDefault="009B2F1E" w:rsidP="009B2F1E">
      <w:pPr>
        <w:pStyle w:val="APAHeadingCenter"/>
      </w:pPr>
      <w:bookmarkStart w:id="4" w:name="bmTitleAdd2"/>
      <w:bookmarkEnd w:id="4"/>
    </w:p>
    <w:p w:rsidR="009B2F1E" w:rsidRDefault="009B2F1E" w:rsidP="009B2F1E">
      <w:pPr>
        <w:pStyle w:val="APAHeadingCenter"/>
      </w:pPr>
      <w:bookmarkStart w:id="5" w:name="bmTitleAdd3"/>
      <w:bookmarkEnd w:id="5"/>
    </w:p>
    <w:p w:rsidR="009B2F1E" w:rsidRDefault="009B2F1E" w:rsidP="009B2F1E">
      <w:pPr>
        <w:pStyle w:val="APAHeadingCenter"/>
      </w:pPr>
      <w:bookmarkStart w:id="6" w:name="bmTitleAdd4"/>
      <w:bookmarkEnd w:id="6"/>
    </w:p>
    <w:p w:rsidR="009B2F1E" w:rsidRDefault="009B2F1E" w:rsidP="009B2F1E">
      <w:pPr>
        <w:pStyle w:val="APA"/>
        <w:sectPr w:rsidR="009B2F1E" w:rsidSect="009B2F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9B2F1E" w:rsidRDefault="009B2F1E" w:rsidP="009B2F1E">
      <w:pPr>
        <w:pStyle w:val="APA"/>
        <w:sectPr w:rsidR="009B2F1E" w:rsidSect="009B2F1E">
          <w:headerReference w:type="first" r:id="rId12"/>
          <w:type w:val="continuous"/>
          <w:pgSz w:w="12240" w:h="15840" w:code="1"/>
          <w:pgMar w:top="1440" w:right="1440" w:bottom="1440" w:left="1440" w:header="720" w:footer="720" w:gutter="0"/>
          <w:cols w:space="720"/>
          <w:titlePg/>
          <w:docGrid w:linePitch="360"/>
        </w:sectPr>
      </w:pPr>
    </w:p>
    <w:p w:rsidR="009B2F1E" w:rsidRDefault="009B2F1E" w:rsidP="009B2F1E">
      <w:pPr>
        <w:pStyle w:val="APAHeadingCenter"/>
      </w:pPr>
      <w:bookmarkStart w:id="7" w:name="bmFirstPageTitle"/>
      <w:r>
        <w:lastRenderedPageBreak/>
        <w:t>Case Study 13-8</w:t>
      </w:r>
      <w:bookmarkEnd w:id="7"/>
    </w:p>
    <w:p w:rsidR="007439C3" w:rsidRDefault="007439C3" w:rsidP="009B2F1E">
      <w:pPr>
        <w:pStyle w:val="APA"/>
      </w:pPr>
    </w:p>
    <w:p w:rsidR="005800C7" w:rsidRDefault="005800C7" w:rsidP="009B2F1E">
      <w:pPr>
        <w:pStyle w:val="APA"/>
      </w:pPr>
      <w:r>
        <w:t>1. What caused the shingles?</w:t>
      </w:r>
    </w:p>
    <w:p w:rsidR="005800C7" w:rsidRDefault="004E3533" w:rsidP="009B2F1E">
      <w:pPr>
        <w:pStyle w:val="APA"/>
      </w:pPr>
      <w:r>
        <w:t xml:space="preserve">Shingles is caused by the same herpes virus that causes chickenpox. It is a latent attack of the </w:t>
      </w:r>
      <w:r w:rsidR="0034086D">
        <w:t>virus (</w:t>
      </w:r>
      <w:proofErr w:type="spellStart"/>
      <w:r w:rsidR="00E2614C">
        <w:t>Porth</w:t>
      </w:r>
      <w:proofErr w:type="spellEnd"/>
      <w:r w:rsidR="00E2614C">
        <w:t>, 2011)</w:t>
      </w:r>
      <w:r>
        <w:t xml:space="preserve">. Reactivation of viral replication is associated with cellular immunity decline, such as with aging and a suppressed immune </w:t>
      </w:r>
      <w:r w:rsidR="00E2614C">
        <w:t>system (</w:t>
      </w:r>
      <w:proofErr w:type="spellStart"/>
      <w:r w:rsidR="00E2614C">
        <w:t>Porth</w:t>
      </w:r>
      <w:proofErr w:type="spellEnd"/>
      <w:r w:rsidR="00E2614C">
        <w:t>, 2011)</w:t>
      </w:r>
      <w:r>
        <w:t>. The suppression of Ms. Mitchell’s immune system due to her “colds” or the fact that she is 90 years old could both be factors contributing to her diagnosis of shingles.</w:t>
      </w:r>
    </w:p>
    <w:p w:rsidR="004E3533" w:rsidRDefault="004E3533" w:rsidP="009B2F1E">
      <w:pPr>
        <w:pStyle w:val="APA"/>
      </w:pPr>
      <w:r>
        <w:t xml:space="preserve">2.  The doctor says it’s like chicken pox, but I wasn’t exposed to that, so how did I get it? </w:t>
      </w:r>
    </w:p>
    <w:p w:rsidR="009C422D" w:rsidRDefault="009C422D" w:rsidP="009B2F1E">
      <w:pPr>
        <w:pStyle w:val="APA"/>
      </w:pPr>
      <w:r>
        <w:t xml:space="preserve">Ms. Mitchell may have come in contact with someone that had shingles and didn’t realize it. A person with shingles is contagious while vesicles are weepy and should not have direct contact (including clothing) with pregnant women, those who weren’t exposed to chickenpox, the elderly, or those with suppressed immune </w:t>
      </w:r>
      <w:r w:rsidR="0034086D">
        <w:t>systems (</w:t>
      </w:r>
      <w:proofErr w:type="spellStart"/>
      <w:r w:rsidR="00E2614C">
        <w:t>Mauk</w:t>
      </w:r>
      <w:proofErr w:type="spellEnd"/>
      <w:r w:rsidR="00E2614C">
        <w:t>, 2010)</w:t>
      </w:r>
      <w:r>
        <w:t xml:space="preserve">. </w:t>
      </w:r>
    </w:p>
    <w:p w:rsidR="009C422D" w:rsidRDefault="009C422D" w:rsidP="009B2F1E">
      <w:pPr>
        <w:pStyle w:val="APA"/>
      </w:pPr>
      <w:r>
        <w:t xml:space="preserve">3. Why is there so much pain with this problem? Is there anything I can do to get relief? The medication doesn’t help that much. </w:t>
      </w:r>
    </w:p>
    <w:p w:rsidR="00E472CB" w:rsidRDefault="00E472CB" w:rsidP="009B2F1E">
      <w:pPr>
        <w:pStyle w:val="APA"/>
      </w:pPr>
      <w:r>
        <w:t xml:space="preserve">During the acute attack, this virus travels from the affected sensory ganglia and peripheral nerve to the skin of the corresponding dermatome, causing unilateral localized vesicular eruption and </w:t>
      </w:r>
      <w:proofErr w:type="spellStart"/>
      <w:proofErr w:type="gramStart"/>
      <w:r>
        <w:t>hyperpathia</w:t>
      </w:r>
      <w:proofErr w:type="spellEnd"/>
      <w:r>
        <w:t>(</w:t>
      </w:r>
      <w:proofErr w:type="gramEnd"/>
      <w:r>
        <w:t>abnormally exaggerated subjective response to pain)</w:t>
      </w:r>
      <w:r w:rsidR="00E2614C">
        <w:t>(</w:t>
      </w:r>
      <w:proofErr w:type="spellStart"/>
      <w:r w:rsidR="00E2614C">
        <w:t>Porth</w:t>
      </w:r>
      <w:proofErr w:type="spellEnd"/>
      <w:r w:rsidR="00E2614C">
        <w:t>, 2011)</w:t>
      </w:r>
      <w:r>
        <w:t xml:space="preserve">. Also during the acute infection more of the large nerve fibers are </w:t>
      </w:r>
      <w:r w:rsidR="00E2614C">
        <w:t>destroyed (</w:t>
      </w:r>
      <w:proofErr w:type="spellStart"/>
      <w:r w:rsidR="00E2614C">
        <w:t>Porth</w:t>
      </w:r>
      <w:proofErr w:type="spellEnd"/>
      <w:r w:rsidR="00E2614C">
        <w:t>, 2011)</w:t>
      </w:r>
      <w:r>
        <w:t xml:space="preserve">. </w:t>
      </w:r>
      <w:r w:rsidR="003F3557">
        <w:t xml:space="preserve">In addition to the antiviral medication a topical anesthetic such as 5% </w:t>
      </w:r>
      <w:proofErr w:type="spellStart"/>
      <w:r w:rsidR="003F3557">
        <w:t>lidocaine</w:t>
      </w:r>
      <w:proofErr w:type="spellEnd"/>
      <w:r w:rsidR="003F3557">
        <w:t xml:space="preserve"> gel or </w:t>
      </w:r>
      <w:proofErr w:type="spellStart"/>
      <w:r w:rsidR="003F3557">
        <w:t>lidocaine</w:t>
      </w:r>
      <w:proofErr w:type="spellEnd"/>
      <w:r w:rsidR="003F3557">
        <w:t xml:space="preserve"> cream can be used to help with the pain and some </w:t>
      </w:r>
      <w:r w:rsidR="00E2614C">
        <w:t>itching (</w:t>
      </w:r>
      <w:proofErr w:type="spellStart"/>
      <w:r w:rsidR="00E2614C">
        <w:t>Porth</w:t>
      </w:r>
      <w:proofErr w:type="spellEnd"/>
      <w:r w:rsidR="00E2614C">
        <w:t>, 2011)</w:t>
      </w:r>
      <w:r w:rsidR="003F3557">
        <w:t xml:space="preserve">. A </w:t>
      </w:r>
      <w:proofErr w:type="spellStart"/>
      <w:r w:rsidR="003F3557">
        <w:t>tricyclic</w:t>
      </w:r>
      <w:proofErr w:type="spellEnd"/>
      <w:r w:rsidR="003F3557">
        <w:t xml:space="preserve"> antidepressant such as </w:t>
      </w:r>
      <w:proofErr w:type="spellStart"/>
      <w:r w:rsidR="003F3557">
        <w:t>Elavil</w:t>
      </w:r>
      <w:proofErr w:type="spellEnd"/>
      <w:r w:rsidR="003F3557">
        <w:t xml:space="preserve"> or Tylenol can also be used to relieve </w:t>
      </w:r>
      <w:r w:rsidR="00E2614C">
        <w:t>pain (</w:t>
      </w:r>
      <w:proofErr w:type="spellStart"/>
      <w:r w:rsidR="00E2614C">
        <w:t>Porth</w:t>
      </w:r>
      <w:proofErr w:type="spellEnd"/>
      <w:r w:rsidR="00E2614C">
        <w:t>, 2011)</w:t>
      </w:r>
      <w:r w:rsidR="003F3557">
        <w:t xml:space="preserve">. Non-pharmacologic interventions may include an oatmeal bath and rest. </w:t>
      </w:r>
    </w:p>
    <w:p w:rsidR="003F3557" w:rsidRDefault="003F3557" w:rsidP="009B2F1E">
      <w:pPr>
        <w:pStyle w:val="APA"/>
      </w:pPr>
    </w:p>
    <w:p w:rsidR="003F3557" w:rsidRDefault="003F3557" w:rsidP="009B2F1E">
      <w:pPr>
        <w:pStyle w:val="APA"/>
      </w:pPr>
      <w:r>
        <w:t xml:space="preserve">4. Can I really have sores on the bottom of my feet and in my mouth? </w:t>
      </w:r>
    </w:p>
    <w:p w:rsidR="003F3557" w:rsidRDefault="00E13AE8" w:rsidP="009B2F1E">
      <w:pPr>
        <w:pStyle w:val="APA"/>
      </w:pPr>
      <w:r>
        <w:t xml:space="preserve">Yes, the virus travels from the affected sensory ganglia and peripheral nerve to the skin of the corresponding </w:t>
      </w:r>
      <w:r w:rsidR="00D25D23">
        <w:t>dermatome (</w:t>
      </w:r>
      <w:proofErr w:type="spellStart"/>
      <w:r w:rsidR="00E2614C">
        <w:t>Porth</w:t>
      </w:r>
      <w:proofErr w:type="spellEnd"/>
      <w:r w:rsidR="00E2614C">
        <w:t>, 2011)</w:t>
      </w:r>
      <w:r>
        <w:t xml:space="preserve">. </w:t>
      </w:r>
    </w:p>
    <w:p w:rsidR="00E13AE8" w:rsidRDefault="00E13AE8" w:rsidP="009B2F1E">
      <w:pPr>
        <w:pStyle w:val="APA"/>
      </w:pPr>
      <w:r>
        <w:t xml:space="preserve">5. How long am I contagious? </w:t>
      </w:r>
    </w:p>
    <w:p w:rsidR="00E13AE8" w:rsidRDefault="00E13AE8" w:rsidP="009B2F1E">
      <w:pPr>
        <w:pStyle w:val="APA"/>
      </w:pPr>
      <w:r>
        <w:t xml:space="preserve">The person is contagious while the vesicles are </w:t>
      </w:r>
      <w:r w:rsidR="00D25D23">
        <w:t>weepy (</w:t>
      </w:r>
      <w:proofErr w:type="spellStart"/>
      <w:r w:rsidR="00D25D23">
        <w:t>Mauk</w:t>
      </w:r>
      <w:proofErr w:type="spellEnd"/>
      <w:r w:rsidR="00D25D23">
        <w:t>, 2010)</w:t>
      </w:r>
      <w:r>
        <w:t xml:space="preserve">. The vesicles must be crusted over for them to be considered no longer contagious. </w:t>
      </w:r>
    </w:p>
    <w:p w:rsidR="00E13AE8" w:rsidRDefault="00E13AE8" w:rsidP="009B2F1E">
      <w:pPr>
        <w:pStyle w:val="APA"/>
      </w:pPr>
      <w:r>
        <w:t>6. When will I start to feel better? I had a friend who was under the weather for months! Is that usual?</w:t>
      </w:r>
    </w:p>
    <w:p w:rsidR="00DE57B9" w:rsidRDefault="00E13AE8" w:rsidP="00DE57B9">
      <w:pPr>
        <w:pStyle w:val="APA"/>
      </w:pPr>
      <w:r>
        <w:t xml:space="preserve">Healing of the vesicles usually occurs in 2-4 </w:t>
      </w:r>
      <w:r w:rsidR="00D25D23">
        <w:t>weeks (</w:t>
      </w:r>
      <w:proofErr w:type="spellStart"/>
      <w:r w:rsidR="00D25D23">
        <w:t>Mauk</w:t>
      </w:r>
      <w:proofErr w:type="spellEnd"/>
      <w:r w:rsidR="00D25D23">
        <w:t>, 2010)</w:t>
      </w:r>
      <w:r>
        <w:t xml:space="preserve">. The pain that is associated with this virus usually subsides within 3-5 </w:t>
      </w:r>
      <w:r w:rsidR="00D25D23">
        <w:t>weeks (</w:t>
      </w:r>
      <w:proofErr w:type="spellStart"/>
      <w:r w:rsidR="00D25D23">
        <w:t>Mauk</w:t>
      </w:r>
      <w:proofErr w:type="spellEnd"/>
      <w:r w:rsidR="00D25D23">
        <w:t>, 2010)</w:t>
      </w:r>
      <w:r>
        <w:t xml:space="preserve">. However, </w:t>
      </w:r>
      <w:proofErr w:type="spellStart"/>
      <w:r>
        <w:t>postherpetic</w:t>
      </w:r>
      <w:proofErr w:type="spellEnd"/>
      <w:r>
        <w:t xml:space="preserve"> </w:t>
      </w:r>
      <w:proofErr w:type="spellStart"/>
      <w:r>
        <w:t>neuralagia</w:t>
      </w:r>
      <w:proofErr w:type="spellEnd"/>
      <w:r>
        <w:t>, a complication of this virus may last 6-12 months after</w:t>
      </w:r>
      <w:r w:rsidR="00DE57B9">
        <w:t xml:space="preserve"> the lesions disappear and may cause </w:t>
      </w:r>
      <w:proofErr w:type="spellStart"/>
      <w:r w:rsidR="00DE57B9">
        <w:t>allodynia</w:t>
      </w:r>
      <w:proofErr w:type="spellEnd"/>
      <w:r w:rsidR="00DE57B9">
        <w:t xml:space="preserve"> and thermal sensory </w:t>
      </w:r>
      <w:r w:rsidR="00D25D23">
        <w:t>deficits (</w:t>
      </w:r>
      <w:proofErr w:type="spellStart"/>
      <w:r w:rsidR="00D25D23">
        <w:t>Mauk</w:t>
      </w:r>
      <w:proofErr w:type="spellEnd"/>
      <w:r w:rsidR="00D25D23">
        <w:t>, 2010)</w:t>
      </w:r>
      <w:r w:rsidR="00DE57B9">
        <w:t xml:space="preserve">. </w:t>
      </w:r>
    </w:p>
    <w:p w:rsidR="00DE57B9" w:rsidRDefault="00DE57B9" w:rsidP="00DE57B9">
      <w:pPr>
        <w:pStyle w:val="APA"/>
      </w:pPr>
      <w:r>
        <w:t>7. Can I ever get this again? If so, how can I prevent it? It’s awful!</w:t>
      </w:r>
    </w:p>
    <w:p w:rsidR="00DE57B9" w:rsidRDefault="00DE57B9" w:rsidP="00DE57B9">
      <w:pPr>
        <w:pStyle w:val="APA"/>
      </w:pPr>
      <w:r>
        <w:t xml:space="preserve">The virus can return periodically. There is a live vaccine available for prevention of shingles in adults age 60 and </w:t>
      </w:r>
      <w:r w:rsidR="00D25D23">
        <w:t>older (</w:t>
      </w:r>
      <w:proofErr w:type="spellStart"/>
      <w:r w:rsidR="00D25D23">
        <w:t>Porth</w:t>
      </w:r>
      <w:proofErr w:type="spellEnd"/>
      <w:r w:rsidR="00D25D23">
        <w:t>, 2011)</w:t>
      </w:r>
      <w:r w:rsidR="00104BBA">
        <w:t xml:space="preserve">. Other methods for prevention include: washing hands often and never touching the skin of people with open sores. In addition to those measures stay away from people that have shingles or chickenpox until the vesicles have crusted over. </w:t>
      </w:r>
    </w:p>
    <w:p w:rsidR="00E13AE8" w:rsidRDefault="00E13AE8" w:rsidP="009B2F1E">
      <w:pPr>
        <w:pStyle w:val="APA"/>
      </w:pPr>
    </w:p>
    <w:p w:rsidR="00D25D23" w:rsidRDefault="00D25D23" w:rsidP="009B2F1E">
      <w:pPr>
        <w:pStyle w:val="APA"/>
      </w:pPr>
    </w:p>
    <w:p w:rsidR="00D25D23" w:rsidRDefault="00D25D23" w:rsidP="009B2F1E">
      <w:pPr>
        <w:pStyle w:val="APA"/>
      </w:pPr>
    </w:p>
    <w:p w:rsidR="00D25D23" w:rsidRDefault="00D25D23" w:rsidP="009B2F1E">
      <w:pPr>
        <w:pStyle w:val="APA"/>
      </w:pPr>
    </w:p>
    <w:p w:rsidR="00D25D23" w:rsidRDefault="00D25D23" w:rsidP="009B2F1E">
      <w:pPr>
        <w:pStyle w:val="APA"/>
      </w:pPr>
    </w:p>
    <w:p w:rsidR="00D25D23" w:rsidRDefault="00D25D23" w:rsidP="00D25D23">
      <w:pPr>
        <w:pStyle w:val="APA"/>
        <w:jc w:val="center"/>
      </w:pPr>
      <w:r>
        <w:lastRenderedPageBreak/>
        <w:t>References</w:t>
      </w:r>
    </w:p>
    <w:p w:rsidR="00D25D23" w:rsidRDefault="00D25D23" w:rsidP="009B2F1E">
      <w:pPr>
        <w:pStyle w:val="APA"/>
      </w:pPr>
    </w:p>
    <w:p w:rsidR="00D25D23" w:rsidRDefault="00D25D23" w:rsidP="00D25D23">
      <w:pPr>
        <w:pStyle w:val="APAReference"/>
      </w:pPr>
      <w:bookmarkStart w:id="8" w:name="R407838069444444I0"/>
      <w:proofErr w:type="spellStart"/>
      <w:r>
        <w:t>Mauk</w:t>
      </w:r>
      <w:proofErr w:type="spellEnd"/>
      <w:r>
        <w:t xml:space="preserve">, K. L. (2010). </w:t>
      </w:r>
      <w:proofErr w:type="spellStart"/>
      <w:r>
        <w:rPr>
          <w:i/>
        </w:rPr>
        <w:t>Gerontological</w:t>
      </w:r>
      <w:proofErr w:type="spellEnd"/>
      <w:r>
        <w:rPr>
          <w:i/>
        </w:rPr>
        <w:t xml:space="preserve"> nursing: Competencies for care </w:t>
      </w:r>
      <w:r>
        <w:t xml:space="preserve">(2nd </w:t>
      </w:r>
      <w:proofErr w:type="gramStart"/>
      <w:r>
        <w:t>ed</w:t>
      </w:r>
      <w:proofErr w:type="gramEnd"/>
      <w:r>
        <w:t>.). Sudbury, MA: Jones and Bartlett.</w:t>
      </w:r>
      <w:bookmarkEnd w:id="8"/>
    </w:p>
    <w:p w:rsidR="00D25D23" w:rsidRPr="00D25D23" w:rsidRDefault="00D25D23" w:rsidP="00D25D23">
      <w:pPr>
        <w:pStyle w:val="APAReference"/>
      </w:pPr>
      <w:proofErr w:type="spellStart"/>
      <w:r>
        <w:t>Porth</w:t>
      </w:r>
      <w:proofErr w:type="spellEnd"/>
      <w:r>
        <w:t xml:space="preserve">, C. (2011). </w:t>
      </w:r>
      <w:r>
        <w:rPr>
          <w:i/>
        </w:rPr>
        <w:t xml:space="preserve">Essentials of </w:t>
      </w:r>
      <w:commentRangeStart w:id="9"/>
      <w:proofErr w:type="spellStart"/>
      <w:r>
        <w:rPr>
          <w:i/>
        </w:rPr>
        <w:t>Pa</w:t>
      </w:r>
      <w:commentRangeEnd w:id="9"/>
      <w:r w:rsidR="003E05BC">
        <w:rPr>
          <w:rStyle w:val="CommentReference"/>
          <w:rFonts w:asciiTheme="minorHAnsi" w:eastAsiaTheme="minorHAnsi" w:hAnsiTheme="minorHAnsi" w:cstheme="minorBidi"/>
        </w:rPr>
        <w:commentReference w:id="9"/>
      </w:r>
      <w:r>
        <w:rPr>
          <w:i/>
        </w:rPr>
        <w:t>thophysiology</w:t>
      </w:r>
      <w:proofErr w:type="spellEnd"/>
      <w:r>
        <w:t xml:space="preserve"> (3</w:t>
      </w:r>
      <w:r w:rsidRPr="00D25D23">
        <w:rPr>
          <w:vertAlign w:val="superscript"/>
        </w:rPr>
        <w:t>rd</w:t>
      </w:r>
      <w:r>
        <w:t xml:space="preserve"> </w:t>
      </w:r>
      <w:proofErr w:type="gramStart"/>
      <w:r>
        <w:t>ed</w:t>
      </w:r>
      <w:proofErr w:type="gramEnd"/>
      <w:r>
        <w:t xml:space="preserve">.). Philadelphia, PA: Lippincott Williams and Wilkins. </w:t>
      </w:r>
    </w:p>
    <w:p w:rsidR="00D25D23" w:rsidRDefault="00D25D23" w:rsidP="00D25D23"/>
    <w:p w:rsidR="00D25D23" w:rsidRDefault="00D25D23" w:rsidP="00D25D23">
      <w:pPr>
        <w:pStyle w:val="APA"/>
      </w:pPr>
    </w:p>
    <w:p w:rsidR="003F3557" w:rsidRDefault="003F3557" w:rsidP="009B2F1E">
      <w:pPr>
        <w:pStyle w:val="APA"/>
      </w:pPr>
    </w:p>
    <w:p w:rsidR="009C422D" w:rsidRPr="009B2F1E" w:rsidRDefault="009C422D" w:rsidP="009B2F1E">
      <w:pPr>
        <w:pStyle w:val="APA"/>
      </w:pPr>
    </w:p>
    <w:sectPr w:rsidR="009C422D" w:rsidRPr="009B2F1E" w:rsidSect="009B2F1E">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1-11-08T20:36:00Z" w:initials="M">
    <w:p w:rsidR="003E05BC" w:rsidRDefault="003E05BC">
      <w:pPr>
        <w:pStyle w:val="CommentText"/>
      </w:pPr>
      <w:r>
        <w:rPr>
          <w:rStyle w:val="CommentReference"/>
        </w:rPr>
        <w:annotationRef/>
      </w:r>
      <w:r>
        <w:t>Small p</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1A7" w:rsidRDefault="00A521A7">
      <w:r>
        <w:separator/>
      </w:r>
    </w:p>
  </w:endnote>
  <w:endnote w:type="continuationSeparator" w:id="0">
    <w:p w:rsidR="00A521A7" w:rsidRDefault="00A52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1E" w:rsidRDefault="009B2F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1E" w:rsidRDefault="009B2F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1E" w:rsidRDefault="009B2F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1A7" w:rsidRDefault="00A521A7">
      <w:r>
        <w:separator/>
      </w:r>
    </w:p>
  </w:footnote>
  <w:footnote w:type="continuationSeparator" w:id="0">
    <w:p w:rsidR="00A521A7" w:rsidRDefault="00A52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1E" w:rsidRDefault="009B2F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1E" w:rsidRPr="009B2F1E" w:rsidRDefault="009B2F1E" w:rsidP="009B2F1E">
    <w:pPr>
      <w:pStyle w:val="APAPageHeading"/>
    </w:pPr>
    <w:r>
      <w:t>CASE STUDY 13-8</w:t>
    </w:r>
    <w:r>
      <w:tab/>
    </w:r>
    <w:fldSimple w:instr=" PAGE  \* MERGEFORMAT ">
      <w:r w:rsidR="003E05BC">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1E" w:rsidRPr="009B2F1E" w:rsidRDefault="009B2F1E" w:rsidP="009B2F1E">
    <w:pPr>
      <w:pStyle w:val="APAPageHeading"/>
    </w:pPr>
    <w:r>
      <w:t>Running head: CASE STUDY 13-8</w:t>
    </w:r>
    <w:r>
      <w:tab/>
    </w:r>
    <w:fldSimple w:instr=" PAGE  \* MERGEFORMAT ">
      <w:r w:rsidR="003E05BC">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F1E" w:rsidRPr="009B2F1E" w:rsidRDefault="009B2F1E" w:rsidP="009B2F1E">
    <w:pPr>
      <w:pStyle w:val="APAPageHeading"/>
    </w:pPr>
    <w:r>
      <w:t>CASE STUDY 13-8</w:t>
    </w:r>
    <w:r>
      <w:tab/>
    </w:r>
    <w:fldSimple w:instr=" PAGE  \* MERGEFORMAT ">
      <w:r w:rsidR="003E05BC">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cVars>
    <w:docVar w:name="bmHeaderInfo" w:val="CASE STUDY 13-8"/>
    <w:docVar w:name="cIsAbstract" w:val="False"/>
    <w:docVar w:name="cPaperAPAOrMLA" w:val="1"/>
    <w:docVar w:name="cUniquePaperID" w:val="408314199305556I0"/>
    <w:docVar w:name="LastEditedVersion" w:val="5"/>
  </w:docVars>
  <w:rsids>
    <w:rsidRoot w:val="005800C7"/>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4BBA"/>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77C"/>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086D"/>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05BC"/>
    <w:rsid w:val="003E154B"/>
    <w:rsid w:val="003E23C3"/>
    <w:rsid w:val="003E537C"/>
    <w:rsid w:val="003E6233"/>
    <w:rsid w:val="003F04D1"/>
    <w:rsid w:val="003F27CE"/>
    <w:rsid w:val="003F3557"/>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1D2F"/>
    <w:rsid w:val="004E3533"/>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00C7"/>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3BFC"/>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E1F"/>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2F1E"/>
    <w:rsid w:val="009B4272"/>
    <w:rsid w:val="009B7146"/>
    <w:rsid w:val="009B78F4"/>
    <w:rsid w:val="009C389D"/>
    <w:rsid w:val="009C422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1A7"/>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5D2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57B9"/>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3AE8"/>
    <w:rsid w:val="00E14145"/>
    <w:rsid w:val="00E14295"/>
    <w:rsid w:val="00E148D4"/>
    <w:rsid w:val="00E14E11"/>
    <w:rsid w:val="00E162A6"/>
    <w:rsid w:val="00E16D7E"/>
    <w:rsid w:val="00E174D9"/>
    <w:rsid w:val="00E227F7"/>
    <w:rsid w:val="00E2370B"/>
    <w:rsid w:val="00E2614C"/>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472CB"/>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D2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677C"/>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PA">
    <w:name w:val="APA"/>
    <w:basedOn w:val="BodyText"/>
    <w:rsid w:val="0017677C"/>
    <w:pPr>
      <w:spacing w:after="0" w:line="480" w:lineRule="auto"/>
      <w:ind w:firstLine="720"/>
    </w:pPr>
    <w:rPr>
      <w:sz w:val="24"/>
    </w:rPr>
  </w:style>
  <w:style w:type="paragraph" w:styleId="BodyText">
    <w:name w:val="Body Text"/>
    <w:basedOn w:val="Normal"/>
    <w:rsid w:val="0017677C"/>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rPr>
  </w:style>
  <w:style w:type="paragraph" w:styleId="Footer">
    <w:name w:val="footer"/>
    <w:basedOn w:val="Normal"/>
    <w:rsid w:val="0017677C"/>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PageNumber">
    <w:name w:val="page number"/>
    <w:basedOn w:val="DefaultParagraphFont"/>
    <w:rsid w:val="0017677C"/>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17677C"/>
    <w:pPr>
      <w:ind w:left="720" w:firstLine="0"/>
    </w:pPr>
  </w:style>
  <w:style w:type="paragraph" w:customStyle="1" w:styleId="APABlockQuoteSubsequentPara">
    <w:name w:val="APA Block Quote Subsequent Para"/>
    <w:basedOn w:val="APA"/>
    <w:next w:val="APA"/>
    <w:rsid w:val="0017677C"/>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17677C"/>
    <w:pPr>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17677C"/>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3E05BC"/>
    <w:rPr>
      <w:sz w:val="16"/>
      <w:szCs w:val="16"/>
    </w:rPr>
  </w:style>
  <w:style w:type="paragraph" w:styleId="CommentText">
    <w:name w:val="annotation text"/>
    <w:basedOn w:val="Normal"/>
    <w:link w:val="CommentTextChar"/>
    <w:rsid w:val="003E05BC"/>
    <w:pPr>
      <w:spacing w:line="240" w:lineRule="auto"/>
    </w:pPr>
    <w:rPr>
      <w:sz w:val="20"/>
      <w:szCs w:val="20"/>
    </w:rPr>
  </w:style>
  <w:style w:type="character" w:customStyle="1" w:styleId="CommentTextChar">
    <w:name w:val="Comment Text Char"/>
    <w:basedOn w:val="DefaultParagraphFont"/>
    <w:link w:val="CommentText"/>
    <w:rsid w:val="003E05BC"/>
    <w:rPr>
      <w:rFonts w:asciiTheme="minorHAnsi" w:eastAsiaTheme="minorHAnsi" w:hAnsiTheme="minorHAnsi" w:cstheme="minorBidi"/>
    </w:rPr>
  </w:style>
  <w:style w:type="paragraph" w:styleId="CommentSubject">
    <w:name w:val="annotation subject"/>
    <w:basedOn w:val="CommentText"/>
    <w:next w:val="CommentText"/>
    <w:link w:val="CommentSubjectChar"/>
    <w:rsid w:val="003E05BC"/>
    <w:rPr>
      <w:b/>
      <w:bCs/>
    </w:rPr>
  </w:style>
  <w:style w:type="character" w:customStyle="1" w:styleId="CommentSubjectChar">
    <w:name w:val="Comment Subject Char"/>
    <w:basedOn w:val="CommentTextChar"/>
    <w:link w:val="CommentSubject"/>
    <w:rsid w:val="003E05BC"/>
    <w:rPr>
      <w:b/>
      <w:bCs/>
    </w:rPr>
  </w:style>
  <w:style w:type="paragraph" w:styleId="BalloonText">
    <w:name w:val="Balloon Text"/>
    <w:basedOn w:val="Normal"/>
    <w:link w:val="BalloonTextChar"/>
    <w:rsid w:val="003E0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E05BC"/>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3</TotalTime>
  <Pages>4</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Case Study 13-8</vt:lpstr>
    </vt:vector>
  </TitlesOfParts>
  <Company>Toshiba</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13-8</dc:title>
  <dc:subject>Copyright</dc:subject>
  <dc:creator>Kimberly Lindsay</dc:creator>
  <cp:lastModifiedBy>Mary</cp:lastModifiedBy>
  <cp:revision>2</cp:revision>
  <dcterms:created xsi:type="dcterms:W3CDTF">2011-11-09T02:38:00Z</dcterms:created>
  <dcterms:modified xsi:type="dcterms:W3CDTF">2011-11-09T02:38:00Z</dcterms:modified>
</cp:coreProperties>
</file>