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1E" w:rsidRDefault="0068411E" w:rsidP="0068411E">
      <w:pPr>
        <w:pStyle w:val="APA"/>
      </w:pPr>
    </w:p>
    <w:p w:rsidR="0068411E" w:rsidRDefault="0068411E" w:rsidP="00D12B0C">
      <w:pPr>
        <w:pStyle w:val="APA"/>
        <w:ind w:firstLine="0"/>
      </w:pPr>
    </w:p>
    <w:p w:rsidR="00D12B0C" w:rsidRDefault="00D12B0C" w:rsidP="00D12B0C">
      <w:pPr>
        <w:pStyle w:val="APA"/>
        <w:ind w:firstLine="0"/>
      </w:pPr>
    </w:p>
    <w:p w:rsidR="0068411E" w:rsidRDefault="0068411E" w:rsidP="0068411E">
      <w:pPr>
        <w:pStyle w:val="APAHeadingCenter"/>
      </w:pPr>
      <w:bookmarkStart w:id="0" w:name="bmTitlePageTitle"/>
      <w:r>
        <w:t>Case Study 14-1</w:t>
      </w:r>
      <w:bookmarkEnd w:id="0"/>
    </w:p>
    <w:p w:rsidR="0068411E" w:rsidRDefault="0068411E" w:rsidP="0068411E">
      <w:pPr>
        <w:pStyle w:val="APAHeadingCenter"/>
      </w:pPr>
      <w:bookmarkStart w:id="1" w:name="bmTitlePageName"/>
      <w:r>
        <w:t>Kimberly Lindsay</w:t>
      </w:r>
      <w:bookmarkEnd w:id="1"/>
    </w:p>
    <w:p w:rsidR="0068411E" w:rsidRDefault="0068411E" w:rsidP="0068411E">
      <w:pPr>
        <w:pStyle w:val="APAHeadingCenter"/>
      </w:pPr>
      <w:bookmarkStart w:id="2" w:name="bmTitlePageInst"/>
      <w:r>
        <w:t>Lakeview college of Nursing</w:t>
      </w:r>
      <w:bookmarkEnd w:id="2"/>
    </w:p>
    <w:p w:rsidR="0068411E" w:rsidRDefault="0068411E" w:rsidP="0068411E">
      <w:pPr>
        <w:pStyle w:val="APAHeadingCenter"/>
      </w:pPr>
      <w:bookmarkStart w:id="3" w:name="bmTitleAdd1"/>
      <w:bookmarkEnd w:id="3"/>
    </w:p>
    <w:p w:rsidR="0068411E" w:rsidRDefault="0068411E" w:rsidP="0068411E">
      <w:pPr>
        <w:pStyle w:val="APAHeadingCenter"/>
      </w:pPr>
      <w:bookmarkStart w:id="4" w:name="bmTitleAdd2"/>
      <w:bookmarkEnd w:id="4"/>
    </w:p>
    <w:p w:rsidR="0068411E" w:rsidRDefault="0068411E" w:rsidP="0068411E">
      <w:pPr>
        <w:pStyle w:val="APAHeadingCenter"/>
      </w:pPr>
      <w:bookmarkStart w:id="5" w:name="bmTitleAdd3"/>
      <w:bookmarkEnd w:id="5"/>
    </w:p>
    <w:p w:rsidR="0068411E" w:rsidRDefault="0068411E" w:rsidP="0068411E">
      <w:pPr>
        <w:pStyle w:val="APAHeadingCenter"/>
      </w:pPr>
      <w:bookmarkStart w:id="6" w:name="bmTitleAdd4"/>
      <w:bookmarkEnd w:id="6"/>
    </w:p>
    <w:p w:rsidR="0068411E" w:rsidRDefault="0068411E" w:rsidP="0068411E">
      <w:pPr>
        <w:pStyle w:val="APA"/>
        <w:sectPr w:rsidR="0068411E" w:rsidSect="006841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68411E" w:rsidRDefault="0068411E" w:rsidP="0068411E">
      <w:pPr>
        <w:pStyle w:val="APA"/>
        <w:sectPr w:rsidR="0068411E" w:rsidSect="0068411E">
          <w:headerReference w:type="first" r:id="rId12"/>
          <w:type w:val="continuous"/>
          <w:pgSz w:w="12240" w:h="15840" w:code="1"/>
          <w:pgMar w:top="1440" w:right="1440" w:bottom="1440" w:left="1440" w:header="720" w:footer="720" w:gutter="0"/>
          <w:cols w:space="720"/>
          <w:titlePg/>
          <w:docGrid w:linePitch="360"/>
        </w:sectPr>
      </w:pPr>
    </w:p>
    <w:p w:rsidR="0068411E" w:rsidRDefault="0068411E" w:rsidP="0068411E">
      <w:pPr>
        <w:pStyle w:val="APAHeadingCenter"/>
      </w:pPr>
      <w:bookmarkStart w:id="7" w:name="bmFirstPageTitle"/>
      <w:r>
        <w:lastRenderedPageBreak/>
        <w:t>Case Study 14-1</w:t>
      </w:r>
      <w:bookmarkEnd w:id="7"/>
    </w:p>
    <w:p w:rsidR="007439C3" w:rsidRDefault="007439C3" w:rsidP="0068411E">
      <w:pPr>
        <w:pStyle w:val="APA"/>
      </w:pPr>
    </w:p>
    <w:p w:rsidR="00D12B0C" w:rsidRDefault="00D12B0C" w:rsidP="0068411E">
      <w:pPr>
        <w:pStyle w:val="APA"/>
      </w:pPr>
      <w:r>
        <w:t xml:space="preserve">1. </w:t>
      </w:r>
      <w:r w:rsidR="00C05C57">
        <w:t xml:space="preserve">Mr. C.’s stroke deficits revealed </w:t>
      </w:r>
      <w:proofErr w:type="spellStart"/>
      <w:r w:rsidR="00C05C57">
        <w:t>dysphagia</w:t>
      </w:r>
      <w:proofErr w:type="spellEnd"/>
      <w:r w:rsidR="00C05C57">
        <w:t xml:space="preserve"> which is a common health problem among the elderly. </w:t>
      </w:r>
      <w:proofErr w:type="spellStart"/>
      <w:r w:rsidR="00C05C57">
        <w:t>Dysphagia</w:t>
      </w:r>
      <w:proofErr w:type="spellEnd"/>
      <w:r w:rsidR="00C05C57">
        <w:t>, which is difficulty or problems swallowing, puts the patient at risk for nutritional deficiencies, respiratory problems and aspiration (</w:t>
      </w:r>
      <w:proofErr w:type="spellStart"/>
      <w:r w:rsidR="00C05C57">
        <w:t>Mauk</w:t>
      </w:r>
      <w:proofErr w:type="spellEnd"/>
      <w:r w:rsidR="00C05C57">
        <w:t xml:space="preserve">, 2010). Assessment for </w:t>
      </w:r>
      <w:proofErr w:type="spellStart"/>
      <w:r w:rsidR="00C05C57">
        <w:t>dysphagia</w:t>
      </w:r>
      <w:proofErr w:type="spellEnd"/>
      <w:r w:rsidR="00C05C57">
        <w:t xml:space="preserve"> is a nursing priority. The assessment includes asking the patient or caregiver questions such as</w:t>
      </w:r>
      <w:r w:rsidR="005C42F8">
        <w:t xml:space="preserve">, any difficulty swallowing; or does it feel like food gets stopped at a certain </w:t>
      </w:r>
      <w:r w:rsidR="00F41C68">
        <w:t xml:space="preserve">point (Taylor, Lillis, </w:t>
      </w:r>
      <w:proofErr w:type="spellStart"/>
      <w:r w:rsidR="00F41C68">
        <w:t>LeMone</w:t>
      </w:r>
      <w:proofErr w:type="spellEnd"/>
      <w:r w:rsidR="00F41C68">
        <w:t xml:space="preserve"> &amp; Lynn, 2008)</w:t>
      </w:r>
      <w:r w:rsidR="005C42F8">
        <w:t xml:space="preserve">? The answers to these questions can indicate signs and symptoms associated with </w:t>
      </w:r>
      <w:proofErr w:type="spellStart"/>
      <w:r w:rsidR="005C42F8">
        <w:t>dysphagia</w:t>
      </w:r>
      <w:proofErr w:type="spellEnd"/>
      <w:r w:rsidR="005C42F8">
        <w:t>. Watching the patient eat a full meal is also an important component of evaluation; it provides objective observations that may indicate a swallowing problem (</w:t>
      </w:r>
      <w:proofErr w:type="spellStart"/>
      <w:r w:rsidR="005C42F8">
        <w:t>Mauk</w:t>
      </w:r>
      <w:proofErr w:type="spellEnd"/>
      <w:r w:rsidR="005C42F8">
        <w:t xml:space="preserve">, 2010). </w:t>
      </w:r>
    </w:p>
    <w:p w:rsidR="005C42F8" w:rsidRDefault="005C42F8" w:rsidP="0068411E">
      <w:pPr>
        <w:pStyle w:val="APA"/>
      </w:pPr>
      <w:r>
        <w:t xml:space="preserve">2. </w:t>
      </w:r>
      <w:r w:rsidR="007E7488">
        <w:t>Mr. C.’</w:t>
      </w:r>
      <w:r w:rsidR="0091610D">
        <w:t xml:space="preserve">s plan of care should include promoting his independence, and </w:t>
      </w:r>
      <w:r w:rsidR="007E7488">
        <w:t xml:space="preserve">monitoring his neurologic status. People with a neurologic deficit should be monitored closely for any improvement or deterioration in neurologic </w:t>
      </w:r>
      <w:r w:rsidR="00F41C68">
        <w:t xml:space="preserve">status (Taylor, Lillis, </w:t>
      </w:r>
      <w:proofErr w:type="spellStart"/>
      <w:r w:rsidR="00F41C68">
        <w:t>LeMone</w:t>
      </w:r>
      <w:proofErr w:type="spellEnd"/>
      <w:r w:rsidR="00F41C68">
        <w:t xml:space="preserve"> &amp; Lynn, 2008)</w:t>
      </w:r>
      <w:r w:rsidR="007E7488">
        <w:t xml:space="preserve">. The care plan should also include proper assessment of his PEG tube to assure adequate nutrition and prevention of adverse effects such as aspiration, and unplanned </w:t>
      </w:r>
      <w:proofErr w:type="spellStart"/>
      <w:proofErr w:type="gramStart"/>
      <w:r w:rsidR="007E7488">
        <w:t>extubation</w:t>
      </w:r>
      <w:proofErr w:type="spellEnd"/>
      <w:r w:rsidR="00F41C68">
        <w:t>(</w:t>
      </w:r>
      <w:proofErr w:type="gramEnd"/>
      <w:r w:rsidR="00F41C68">
        <w:t xml:space="preserve">Taylor, Lillis, </w:t>
      </w:r>
      <w:commentRangeStart w:id="8"/>
      <w:proofErr w:type="spellStart"/>
      <w:r w:rsidR="00F41C68">
        <w:t>LeMone</w:t>
      </w:r>
      <w:proofErr w:type="spellEnd"/>
      <w:r w:rsidR="00F41C68">
        <w:t xml:space="preserve"> &amp; Lynn</w:t>
      </w:r>
      <w:commentRangeEnd w:id="8"/>
      <w:r w:rsidR="0044377C">
        <w:rPr>
          <w:rStyle w:val="CommentReference"/>
          <w:rFonts w:asciiTheme="minorHAnsi" w:eastAsiaTheme="minorHAnsi" w:hAnsiTheme="minorHAnsi" w:cstheme="minorBidi"/>
        </w:rPr>
        <w:commentReference w:id="8"/>
      </w:r>
      <w:r w:rsidR="00F41C68">
        <w:t>, 2008)</w:t>
      </w:r>
      <w:r w:rsidR="007E7488">
        <w:t xml:space="preserve">. </w:t>
      </w:r>
    </w:p>
    <w:p w:rsidR="007E7488" w:rsidRDefault="007E7488" w:rsidP="0068411E">
      <w:pPr>
        <w:pStyle w:val="APA"/>
      </w:pPr>
      <w:r>
        <w:t xml:space="preserve">3. </w:t>
      </w:r>
      <w:r w:rsidR="0091610D">
        <w:t xml:space="preserve">Interventions to prevent complications and promote recovery include: performing a neurologic check which includes monitoring level of consciousness, motor function, papillary response, and vital </w:t>
      </w:r>
      <w:r w:rsidR="00886627">
        <w:t>signs (Taylor</w:t>
      </w:r>
      <w:commentRangeStart w:id="9"/>
      <w:r w:rsidR="00886627">
        <w:t xml:space="preserve">, Lillis, </w:t>
      </w:r>
      <w:proofErr w:type="spellStart"/>
      <w:r w:rsidR="00886627">
        <w:t>LeMone</w:t>
      </w:r>
      <w:proofErr w:type="spellEnd"/>
      <w:r w:rsidR="00886627">
        <w:t xml:space="preserve"> &amp; Lynn, 2011)</w:t>
      </w:r>
      <w:r w:rsidR="0091610D">
        <w:t xml:space="preserve">. </w:t>
      </w:r>
      <w:commentRangeEnd w:id="9"/>
      <w:r w:rsidR="0044377C">
        <w:rPr>
          <w:rStyle w:val="CommentReference"/>
          <w:rFonts w:asciiTheme="minorHAnsi" w:eastAsiaTheme="minorHAnsi" w:hAnsiTheme="minorHAnsi" w:cstheme="minorBidi"/>
        </w:rPr>
        <w:commentReference w:id="9"/>
      </w:r>
      <w:r w:rsidR="0091610D">
        <w:t>Provide appropriate patient education and counseling about the stroke</w:t>
      </w:r>
      <w:r w:rsidR="00660D54">
        <w:t xml:space="preserve">. Prevent complications with tube feedings by keeping the skin clean, checking for tube placement, checking the residual and making sure the tube is </w:t>
      </w:r>
      <w:r w:rsidR="00660D54">
        <w:lastRenderedPageBreak/>
        <w:t xml:space="preserve">anchored </w:t>
      </w:r>
      <w:r w:rsidR="00886627">
        <w:t>securely (</w:t>
      </w:r>
      <w:commentRangeStart w:id="10"/>
      <w:r w:rsidR="00886627">
        <w:t xml:space="preserve">Taylor, Lillis, </w:t>
      </w:r>
      <w:proofErr w:type="spellStart"/>
      <w:r w:rsidR="00886627">
        <w:t>LeMone</w:t>
      </w:r>
      <w:proofErr w:type="spellEnd"/>
      <w:r w:rsidR="00886627">
        <w:t xml:space="preserve"> &amp; Lynn, 2011</w:t>
      </w:r>
      <w:commentRangeEnd w:id="10"/>
      <w:r w:rsidR="0044377C">
        <w:rPr>
          <w:rStyle w:val="CommentReference"/>
          <w:rFonts w:asciiTheme="minorHAnsi" w:eastAsiaTheme="minorHAnsi" w:hAnsiTheme="minorHAnsi" w:cstheme="minorBidi"/>
        </w:rPr>
        <w:commentReference w:id="10"/>
      </w:r>
      <w:r w:rsidR="00886627">
        <w:t>)</w:t>
      </w:r>
      <w:r w:rsidR="00660D54">
        <w:t>. Finally, the patient should change positions every 2 hours to prevent skin breakdown and infection.</w:t>
      </w:r>
      <w:r w:rsidR="00F41C68">
        <w:t xml:space="preserve"> </w:t>
      </w:r>
    </w:p>
    <w:p w:rsidR="00660D54" w:rsidRDefault="00660D54" w:rsidP="0068411E">
      <w:pPr>
        <w:pStyle w:val="APA"/>
      </w:pPr>
      <w:r>
        <w:t>4.</w:t>
      </w:r>
      <w:r w:rsidR="007D0382">
        <w:t xml:space="preserve"> </w:t>
      </w:r>
      <w:r w:rsidR="00F35B60">
        <w:t xml:space="preserve">The nurse should explain to the family that the </w:t>
      </w:r>
      <w:r w:rsidR="000A7D28">
        <w:t xml:space="preserve">urgency, frequency, and incontinence may not be due to an overactive bladder but rather a possible side effect from a medication or a possible </w:t>
      </w:r>
      <w:r w:rsidR="00F41C68">
        <w:t>infection (</w:t>
      </w:r>
      <w:proofErr w:type="spellStart"/>
      <w:r w:rsidR="00F41C68">
        <w:t>Mauk</w:t>
      </w:r>
      <w:proofErr w:type="spellEnd"/>
      <w:r w:rsidR="00F41C68">
        <w:t>, 2010)</w:t>
      </w:r>
      <w:r w:rsidR="000A7D28">
        <w:t xml:space="preserve">. The nurse should also check safety and </w:t>
      </w:r>
      <w:r w:rsidR="001B6540">
        <w:t>compatibility</w:t>
      </w:r>
      <w:r w:rsidR="000A7D28">
        <w:t xml:space="preserve"> with the physician about the cold medicine the family brought in. </w:t>
      </w:r>
    </w:p>
    <w:p w:rsidR="000A7D28" w:rsidRDefault="000A7D28" w:rsidP="0068411E">
      <w:pPr>
        <w:pStyle w:val="APA"/>
      </w:pPr>
      <w:r>
        <w:t xml:space="preserve">5. </w:t>
      </w:r>
      <w:r w:rsidR="00F75D29">
        <w:t xml:space="preserve"> The nurse should obtain a urine sample from the patient to test for a </w:t>
      </w:r>
      <w:commentRangeStart w:id="11"/>
      <w:r w:rsidR="00F75D29">
        <w:t>UTI</w:t>
      </w:r>
      <w:commentRangeEnd w:id="11"/>
      <w:r w:rsidR="0044377C">
        <w:rPr>
          <w:rStyle w:val="CommentReference"/>
          <w:rFonts w:asciiTheme="minorHAnsi" w:eastAsiaTheme="minorHAnsi" w:hAnsiTheme="minorHAnsi" w:cstheme="minorBidi"/>
        </w:rPr>
        <w:commentReference w:id="11"/>
      </w:r>
      <w:r w:rsidR="00F75D29">
        <w:t xml:space="preserve"> and check the possible side effects of the medications the patient is on.</w:t>
      </w:r>
    </w:p>
    <w:p w:rsidR="00F75D29" w:rsidRDefault="00F75D29" w:rsidP="0068411E">
      <w:pPr>
        <w:pStyle w:val="APA"/>
      </w:pPr>
      <w:r>
        <w:t>6. The nurse should monitor intake and output since the patient’s tube feedings are being decreased and oral intake is increasing and also monitor how well the patient is tolerating oral intake. The patient’s incontinence should be monitored and the nurse should implement bladder re-training</w:t>
      </w:r>
      <w:r w:rsidR="001B6540">
        <w:t xml:space="preserve">. The nurse should also make sure the patient remains dry to maintain skin integrity and prevent breakdown. </w:t>
      </w:r>
    </w:p>
    <w:p w:rsidR="000B58A4" w:rsidRDefault="001B6540" w:rsidP="000B58A4">
      <w:pPr>
        <w:pStyle w:val="APA"/>
      </w:pPr>
      <w:r>
        <w:t>7. Interventions should include: making sure the patient remains dry, having the patient change positions at least every 2 hours to prevent skin breakdown, implementing a bladder training program, and teaching the patient to recognize and report signs and symptoms of a possible bladder infection.</w:t>
      </w:r>
    </w:p>
    <w:p w:rsidR="000B58A4" w:rsidRDefault="000B58A4">
      <w:pPr>
        <w:spacing w:after="0" w:line="240" w:lineRule="auto"/>
        <w:rPr>
          <w:rFonts w:ascii="Times New Roman" w:eastAsia="Times New Roman" w:hAnsi="Times New Roman" w:cs="Times New Roman"/>
          <w:sz w:val="24"/>
          <w:szCs w:val="20"/>
        </w:rPr>
      </w:pPr>
      <w:r>
        <w:br w:type="page"/>
      </w:r>
    </w:p>
    <w:p w:rsidR="000B58A4" w:rsidRDefault="000B58A4" w:rsidP="000B58A4">
      <w:pPr>
        <w:pStyle w:val="APAHeadingCenter"/>
      </w:pPr>
      <w:r>
        <w:lastRenderedPageBreak/>
        <w:t>References</w:t>
      </w:r>
    </w:p>
    <w:p w:rsidR="000B58A4" w:rsidRPr="007B5767" w:rsidRDefault="000B58A4" w:rsidP="000B58A4">
      <w:pPr>
        <w:pStyle w:val="APAReference"/>
      </w:pPr>
      <w:bookmarkStart w:id="12" w:name="R407838069444444I0"/>
      <w:proofErr w:type="spellStart"/>
      <w:r>
        <w:t>Mauk</w:t>
      </w:r>
      <w:proofErr w:type="spellEnd"/>
      <w:r>
        <w:t xml:space="preserve">, K. L. (2010). </w:t>
      </w:r>
      <w:proofErr w:type="spellStart"/>
      <w:r>
        <w:rPr>
          <w:i/>
        </w:rPr>
        <w:t>Gerontological</w:t>
      </w:r>
      <w:proofErr w:type="spellEnd"/>
      <w:r>
        <w:rPr>
          <w:i/>
        </w:rPr>
        <w:t xml:space="preserve"> nursing: Competencies for care </w:t>
      </w:r>
      <w:r>
        <w:t xml:space="preserve">(2nd </w:t>
      </w:r>
      <w:proofErr w:type="gramStart"/>
      <w:r>
        <w:t>ed</w:t>
      </w:r>
      <w:proofErr w:type="gramEnd"/>
      <w:r>
        <w:t>.). Sudbury, MA: Jones and Bartlett.</w:t>
      </w:r>
      <w:bookmarkEnd w:id="12"/>
    </w:p>
    <w:p w:rsidR="000B58A4" w:rsidRPr="003A04D3" w:rsidRDefault="000B58A4" w:rsidP="000B58A4">
      <w:pPr>
        <w:pStyle w:val="APA"/>
        <w:ind w:firstLine="0"/>
      </w:pPr>
      <w:r>
        <w:rPr>
          <w:rFonts w:eastAsiaTheme="minorHAnsi"/>
          <w:szCs w:val="24"/>
        </w:rPr>
        <w:t xml:space="preserve">Taylor, C., Lillis, C., </w:t>
      </w:r>
      <w:proofErr w:type="spellStart"/>
      <w:r>
        <w:rPr>
          <w:rFonts w:eastAsiaTheme="minorHAnsi"/>
          <w:szCs w:val="24"/>
        </w:rPr>
        <w:t>LeMone</w:t>
      </w:r>
      <w:commentRangeStart w:id="13"/>
      <w:proofErr w:type="spellEnd"/>
      <w:r>
        <w:rPr>
          <w:rFonts w:eastAsiaTheme="minorHAnsi"/>
          <w:szCs w:val="24"/>
        </w:rPr>
        <w:t>, P., Lynn</w:t>
      </w:r>
      <w:commentRangeEnd w:id="13"/>
      <w:r w:rsidR="0044377C">
        <w:rPr>
          <w:rStyle w:val="CommentReference"/>
          <w:rFonts w:asciiTheme="minorHAnsi" w:eastAsiaTheme="minorHAnsi" w:hAnsiTheme="minorHAnsi" w:cstheme="minorBidi"/>
        </w:rPr>
        <w:commentReference w:id="13"/>
      </w:r>
      <w:r>
        <w:rPr>
          <w:rFonts w:eastAsiaTheme="minorHAnsi"/>
          <w:szCs w:val="24"/>
        </w:rPr>
        <w:t>, P.</w:t>
      </w:r>
      <w:r w:rsidR="003A04D3">
        <w:rPr>
          <w:rFonts w:eastAsiaTheme="minorHAnsi"/>
          <w:szCs w:val="24"/>
        </w:rPr>
        <w:t xml:space="preserve"> (2008). </w:t>
      </w:r>
      <w:r w:rsidR="003A04D3">
        <w:rPr>
          <w:rFonts w:eastAsiaTheme="minorHAnsi"/>
          <w:i/>
          <w:szCs w:val="24"/>
        </w:rPr>
        <w:t>Fundamentals of Nursing: The art and science of nursing care</w:t>
      </w:r>
      <w:r w:rsidR="003A04D3">
        <w:rPr>
          <w:rFonts w:eastAsiaTheme="minorHAnsi"/>
          <w:szCs w:val="24"/>
        </w:rPr>
        <w:t xml:space="preserve"> (6</w:t>
      </w:r>
      <w:r w:rsidR="003A04D3" w:rsidRPr="003A04D3">
        <w:rPr>
          <w:rFonts w:eastAsiaTheme="minorHAnsi"/>
          <w:szCs w:val="24"/>
          <w:vertAlign w:val="superscript"/>
        </w:rPr>
        <w:t>th</w:t>
      </w:r>
      <w:r w:rsidR="003A04D3">
        <w:rPr>
          <w:rFonts w:eastAsiaTheme="minorHAnsi"/>
          <w:szCs w:val="24"/>
        </w:rPr>
        <w:t xml:space="preserve"> </w:t>
      </w:r>
      <w:proofErr w:type="gramStart"/>
      <w:r w:rsidR="003A04D3">
        <w:rPr>
          <w:rFonts w:eastAsiaTheme="minorHAnsi"/>
          <w:szCs w:val="24"/>
        </w:rPr>
        <w:t>ed</w:t>
      </w:r>
      <w:proofErr w:type="gramEnd"/>
      <w:r w:rsidR="003A04D3">
        <w:rPr>
          <w:rFonts w:eastAsiaTheme="minorHAnsi"/>
          <w:szCs w:val="24"/>
        </w:rPr>
        <w:t xml:space="preserve">.). Philadelphia, PA: Lippincott Williams and Wilkins. </w:t>
      </w:r>
    </w:p>
    <w:p w:rsidR="000B58A4" w:rsidRDefault="000B58A4" w:rsidP="000B58A4">
      <w:pPr>
        <w:pStyle w:val="APAHeadingCenter"/>
      </w:pPr>
    </w:p>
    <w:sectPr w:rsidR="000B58A4" w:rsidSect="0068411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1-26T04:49:00Z" w:initials="M">
    <w:p w:rsidR="0044377C" w:rsidRDefault="0044377C">
      <w:pPr>
        <w:pStyle w:val="CommentText"/>
      </w:pPr>
      <w:r>
        <w:rPr>
          <w:rStyle w:val="CommentReference"/>
        </w:rPr>
        <w:annotationRef/>
      </w:r>
      <w:proofErr w:type="spellStart"/>
      <w:r>
        <w:t>LeMone</w:t>
      </w:r>
      <w:proofErr w:type="spellEnd"/>
      <w:r>
        <w:t>, &amp; Lynn   need a comma here</w:t>
      </w:r>
    </w:p>
  </w:comment>
  <w:comment w:id="9" w:author="Mary" w:date="2011-11-26T04:50:00Z" w:initials="M">
    <w:p w:rsidR="0044377C" w:rsidRDefault="0044377C">
      <w:pPr>
        <w:pStyle w:val="CommentText"/>
      </w:pPr>
      <w:r>
        <w:rPr>
          <w:rStyle w:val="CommentReference"/>
        </w:rPr>
        <w:annotationRef/>
      </w:r>
      <w:r>
        <w:t>After the first time can use Taylor et al. with 3 – 5 authors</w:t>
      </w:r>
    </w:p>
  </w:comment>
  <w:comment w:id="10" w:author="Mary" w:date="2011-11-26T04:50:00Z" w:initials="M">
    <w:p w:rsidR="0044377C" w:rsidRDefault="0044377C">
      <w:pPr>
        <w:pStyle w:val="CommentText"/>
      </w:pPr>
      <w:r>
        <w:rPr>
          <w:rStyle w:val="CommentReference"/>
        </w:rPr>
        <w:annotationRef/>
      </w:r>
      <w:proofErr w:type="gramStart"/>
      <w:r>
        <w:t>same</w:t>
      </w:r>
      <w:proofErr w:type="gramEnd"/>
    </w:p>
  </w:comment>
  <w:comment w:id="11" w:author="Mary" w:date="2011-11-26T04:52:00Z" w:initials="M">
    <w:p w:rsidR="0044377C" w:rsidRDefault="0044377C">
      <w:pPr>
        <w:pStyle w:val="CommentText"/>
      </w:pPr>
      <w:r>
        <w:rPr>
          <w:rStyle w:val="CommentReference"/>
        </w:rPr>
        <w:annotationRef/>
      </w:r>
      <w:r>
        <w:t xml:space="preserve">spell it out the first time for the non medical </w:t>
      </w:r>
      <w:r>
        <w:t>people</w:t>
      </w:r>
    </w:p>
  </w:comment>
  <w:comment w:id="13" w:author="Mary" w:date="2011-11-26T04:51:00Z" w:initials="M">
    <w:p w:rsidR="0044377C" w:rsidRDefault="0044377C">
      <w:pPr>
        <w:pStyle w:val="CommentText"/>
      </w:pPr>
      <w:r>
        <w:rPr>
          <w:rStyle w:val="CommentReference"/>
        </w:rPr>
        <w:annotationRef/>
      </w:r>
      <w:proofErr w:type="spellStart"/>
      <w:r>
        <w:t>LeMone</w:t>
      </w:r>
      <w:proofErr w:type="spellEnd"/>
      <w:r>
        <w:t>, P., &amp; Lynn, 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215" w:rsidRDefault="00156215">
      <w:r>
        <w:separator/>
      </w:r>
    </w:p>
  </w:endnote>
  <w:endnote w:type="continuationSeparator" w:id="0">
    <w:p w:rsidR="00156215" w:rsidRDefault="00156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Default="00684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Default="006841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Default="00684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215" w:rsidRDefault="00156215">
      <w:r>
        <w:separator/>
      </w:r>
    </w:p>
  </w:footnote>
  <w:footnote w:type="continuationSeparator" w:id="0">
    <w:p w:rsidR="00156215" w:rsidRDefault="00156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Default="006841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APAPageHeading"/>
    </w:pPr>
    <w:r>
      <w:t>CASE STUDY 14-1</w:t>
    </w:r>
    <w:r>
      <w:tab/>
    </w:r>
    <w:fldSimple w:instr=" PAGE  \* MERGEFORMAT ">
      <w:r w:rsidR="0044377C">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APAPageHeading"/>
    </w:pPr>
    <w:r>
      <w:t>Running head: CASE STUDY 14-1</w:t>
    </w:r>
    <w:r>
      <w:tab/>
    </w:r>
    <w:fldSimple w:instr=" PAGE  \* MERGEFORMAT ">
      <w:r w:rsidR="0044377C">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APAPageHeading"/>
    </w:pPr>
    <w:r>
      <w:t>CASE STUDY 14-1</w:t>
    </w:r>
    <w:r>
      <w:tab/>
    </w:r>
    <w:fldSimple w:instr=" PAGE  \* MERGEFORMAT ">
      <w:r w:rsidR="0044377C">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407838181250000I0" w:val="*1,221˜11Carol~~Taylor~Carol~~Lillis~Priscella~~LeMone~Pamela~~Lynn~˜12032011˜14The aging adult ˜21830˜17˜15Fundamentals of nursing˜2201˜1527th˜2711˜241˜173˜171413˜172420˜1603˜21951˜21940˜110Philadelphia, PA˜111Lippin˜1449˜269˜1196˜1609˜"/>
    <w:docVar w:name="bmHeaderInfo" w:val="CASE STUDY 14-1"/>
    <w:docVar w:name="cIsAbstract" w:val="False"/>
    <w:docVar w:name="cPaperAPAOrMLA" w:val="1"/>
    <w:docVar w:name="cUniquePaperID" w:val="408465071064815I0"/>
    <w:docVar w:name="LastEditedVersion" w:val="5"/>
  </w:docVars>
  <w:rsids>
    <w:rsidRoot w:val="00D12B0C"/>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A7D28"/>
    <w:rsid w:val="000B0007"/>
    <w:rsid w:val="000B170D"/>
    <w:rsid w:val="000B18A9"/>
    <w:rsid w:val="000B25A0"/>
    <w:rsid w:val="000B4365"/>
    <w:rsid w:val="000B58A4"/>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215"/>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540"/>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06804"/>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04D3"/>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77C"/>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2F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0D54"/>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411E"/>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382"/>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E7488"/>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627"/>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610D"/>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5C57"/>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0C"/>
    <w:rsid w:val="00D12B66"/>
    <w:rsid w:val="00D1372E"/>
    <w:rsid w:val="00D16F87"/>
    <w:rsid w:val="00D21857"/>
    <w:rsid w:val="00D229EA"/>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4D07"/>
    <w:rsid w:val="00D76978"/>
    <w:rsid w:val="00D76E0F"/>
    <w:rsid w:val="00D81237"/>
    <w:rsid w:val="00D83BDB"/>
    <w:rsid w:val="00D9108C"/>
    <w:rsid w:val="00D9195C"/>
    <w:rsid w:val="00D957BA"/>
    <w:rsid w:val="00D967A3"/>
    <w:rsid w:val="00DA26BF"/>
    <w:rsid w:val="00DA2C59"/>
    <w:rsid w:val="00DA3BC3"/>
    <w:rsid w:val="00DA49E0"/>
    <w:rsid w:val="00DA5739"/>
    <w:rsid w:val="00DB0188"/>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5B60"/>
    <w:rsid w:val="00F36422"/>
    <w:rsid w:val="00F371B5"/>
    <w:rsid w:val="00F37391"/>
    <w:rsid w:val="00F376D6"/>
    <w:rsid w:val="00F40D35"/>
    <w:rsid w:val="00F418AD"/>
    <w:rsid w:val="00F41C68"/>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5D29"/>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680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4D0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rsid w:val="00D74D07"/>
    <w:pPr>
      <w:spacing w:after="0" w:line="480" w:lineRule="auto"/>
      <w:ind w:firstLine="720"/>
    </w:pPr>
    <w:rPr>
      <w:sz w:val="24"/>
    </w:rPr>
  </w:style>
  <w:style w:type="paragraph" w:styleId="BodyText">
    <w:name w:val="Body Text"/>
    <w:basedOn w:val="Normal"/>
    <w:rsid w:val="00D74D07"/>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rsid w:val="00D74D0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D74D07"/>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D74D07"/>
    <w:pPr>
      <w:ind w:left="720" w:firstLine="0"/>
    </w:pPr>
  </w:style>
  <w:style w:type="paragraph" w:customStyle="1" w:styleId="APABlockQuoteSubsequentPara">
    <w:name w:val="APA Block Quote Subsequent Para"/>
    <w:basedOn w:val="APA"/>
    <w:next w:val="APA"/>
    <w:rsid w:val="00D74D0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D74D07"/>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D74D0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44377C"/>
    <w:rPr>
      <w:sz w:val="16"/>
      <w:szCs w:val="16"/>
    </w:rPr>
  </w:style>
  <w:style w:type="paragraph" w:styleId="CommentText">
    <w:name w:val="annotation text"/>
    <w:basedOn w:val="Normal"/>
    <w:link w:val="CommentTextChar"/>
    <w:rsid w:val="0044377C"/>
    <w:pPr>
      <w:spacing w:line="240" w:lineRule="auto"/>
    </w:pPr>
    <w:rPr>
      <w:sz w:val="20"/>
      <w:szCs w:val="20"/>
    </w:rPr>
  </w:style>
  <w:style w:type="character" w:customStyle="1" w:styleId="CommentTextChar">
    <w:name w:val="Comment Text Char"/>
    <w:basedOn w:val="DefaultParagraphFont"/>
    <w:link w:val="CommentText"/>
    <w:rsid w:val="0044377C"/>
    <w:rPr>
      <w:rFonts w:asciiTheme="minorHAnsi" w:eastAsiaTheme="minorHAnsi" w:hAnsiTheme="minorHAnsi" w:cstheme="minorBidi"/>
    </w:rPr>
  </w:style>
  <w:style w:type="paragraph" w:styleId="CommentSubject">
    <w:name w:val="annotation subject"/>
    <w:basedOn w:val="CommentText"/>
    <w:next w:val="CommentText"/>
    <w:link w:val="CommentSubjectChar"/>
    <w:rsid w:val="0044377C"/>
    <w:rPr>
      <w:b/>
      <w:bCs/>
    </w:rPr>
  </w:style>
  <w:style w:type="character" w:customStyle="1" w:styleId="CommentSubjectChar">
    <w:name w:val="Comment Subject Char"/>
    <w:basedOn w:val="CommentTextChar"/>
    <w:link w:val="CommentSubject"/>
    <w:rsid w:val="0044377C"/>
    <w:rPr>
      <w:b/>
      <w:bCs/>
    </w:rPr>
  </w:style>
  <w:style w:type="paragraph" w:styleId="BalloonText">
    <w:name w:val="Balloon Text"/>
    <w:basedOn w:val="Normal"/>
    <w:link w:val="BalloonTextChar"/>
    <w:rsid w:val="00443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377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5</TotalTime>
  <Pages>4</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Case Study 14-1</vt:lpstr>
    </vt:vector>
  </TitlesOfParts>
  <Company>Toshiba</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14-1</dc:title>
  <dc:subject>Copyright</dc:subject>
  <dc:creator>Kimberly Lindsay</dc:creator>
  <cp:lastModifiedBy>Mary</cp:lastModifiedBy>
  <cp:revision>2</cp:revision>
  <dcterms:created xsi:type="dcterms:W3CDTF">2011-11-26T10:52:00Z</dcterms:created>
  <dcterms:modified xsi:type="dcterms:W3CDTF">2011-11-26T10:52:00Z</dcterms:modified>
</cp:coreProperties>
</file>