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C3" w:rsidRDefault="007439C3" w:rsidP="00B7396A">
      <w:pPr>
        <w:pStyle w:val="APA"/>
      </w:pPr>
    </w:p>
    <w:p w:rsidR="00B7396A" w:rsidRPr="00921502" w:rsidRDefault="00921502" w:rsidP="00B7396A">
      <w:pPr>
        <w:pStyle w:val="APA"/>
        <w:rPr>
          <w:color w:val="FF0000"/>
        </w:rPr>
      </w:pPr>
      <w:r w:rsidRPr="00921502">
        <w:rPr>
          <w:color w:val="FF0000"/>
        </w:rPr>
        <w:t>24.5/25</w:t>
      </w:r>
    </w:p>
    <w:p w:rsidR="00B7396A" w:rsidRDefault="00B7396A" w:rsidP="00B7396A">
      <w:pPr>
        <w:pStyle w:val="APA"/>
      </w:pPr>
    </w:p>
    <w:p w:rsidR="00B7396A" w:rsidRDefault="00B7396A" w:rsidP="00B7396A">
      <w:pPr>
        <w:pStyle w:val="APA"/>
      </w:pPr>
    </w:p>
    <w:p w:rsidR="00B7396A" w:rsidRDefault="00B7396A" w:rsidP="00B7396A">
      <w:pPr>
        <w:pStyle w:val="APA"/>
      </w:pPr>
    </w:p>
    <w:p w:rsidR="00B7396A" w:rsidRDefault="00B7396A" w:rsidP="00B7396A">
      <w:pPr>
        <w:pStyle w:val="APA"/>
      </w:pPr>
    </w:p>
    <w:p w:rsidR="00B7396A" w:rsidRDefault="00B7396A" w:rsidP="00B7396A">
      <w:pPr>
        <w:pStyle w:val="APA"/>
      </w:pPr>
    </w:p>
    <w:p w:rsidR="00B7396A" w:rsidRDefault="00B7396A" w:rsidP="00B7396A">
      <w:pPr>
        <w:pStyle w:val="APAHeadingCenter"/>
      </w:pPr>
      <w:bookmarkStart w:id="0" w:name="bmTitlePageTitle"/>
      <w:r>
        <w:t>Case Study Week 7</w:t>
      </w:r>
      <w:bookmarkEnd w:id="0"/>
    </w:p>
    <w:p w:rsidR="00B7396A" w:rsidRDefault="00B7396A" w:rsidP="00B7396A">
      <w:pPr>
        <w:pStyle w:val="APAHeadingCenter"/>
      </w:pPr>
      <w:bookmarkStart w:id="1" w:name="bmTitlePageName"/>
      <w:r>
        <w:t>Joanna Kaufman</w:t>
      </w:r>
      <w:bookmarkEnd w:id="1"/>
    </w:p>
    <w:p w:rsidR="00B7396A" w:rsidRDefault="00B7396A" w:rsidP="00B7396A">
      <w:pPr>
        <w:pStyle w:val="APAHeadingCenter"/>
      </w:pPr>
      <w:bookmarkStart w:id="2" w:name="bmTitlePageInst"/>
      <w:r>
        <w:t>Lakeview College of Nursing</w:t>
      </w:r>
      <w:bookmarkEnd w:id="2"/>
    </w:p>
    <w:p w:rsidR="00B7396A" w:rsidRDefault="00B7396A" w:rsidP="00C819C1">
      <w:pPr>
        <w:pStyle w:val="APAHeadingCenter"/>
      </w:pPr>
      <w:bookmarkStart w:id="3" w:name="bmTitleAdd1"/>
      <w:bookmarkStart w:id="4" w:name="bmTitleAdd2"/>
      <w:bookmarkStart w:id="5" w:name="bmTitleAdd3"/>
      <w:bookmarkStart w:id="6" w:name="bmTitleAdd4"/>
      <w:bookmarkEnd w:id="3"/>
      <w:bookmarkEnd w:id="4"/>
      <w:bookmarkEnd w:id="5"/>
      <w:r>
        <w:t>July 01, 2012</w:t>
      </w:r>
      <w:bookmarkEnd w:id="6"/>
    </w:p>
    <w:p w:rsidR="00B7396A" w:rsidRDefault="00B7396A" w:rsidP="00B7396A">
      <w:pPr>
        <w:pStyle w:val="APA"/>
        <w:sectPr w:rsidR="00B7396A" w:rsidSect="00B739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B7396A" w:rsidRDefault="00B7396A" w:rsidP="00B7396A">
      <w:pPr>
        <w:pStyle w:val="APA"/>
        <w:sectPr w:rsidR="00B7396A" w:rsidSect="00B7396A">
          <w:headerReference w:type="first" r:id="rId13"/>
          <w:type w:val="continuous"/>
          <w:pgSz w:w="12240" w:h="15840" w:code="1"/>
          <w:pgMar w:top="1440" w:right="1440" w:bottom="1440" w:left="1440" w:header="720" w:footer="720" w:gutter="0"/>
          <w:cols w:space="720"/>
          <w:titlePg/>
          <w:docGrid w:linePitch="360"/>
        </w:sectPr>
      </w:pPr>
    </w:p>
    <w:p w:rsidR="00B7396A" w:rsidRDefault="00B7396A" w:rsidP="00B7396A">
      <w:pPr>
        <w:pStyle w:val="APAHeadingCenter"/>
      </w:pPr>
      <w:bookmarkStart w:id="7" w:name="bmFirstPageTitle"/>
      <w:r>
        <w:lastRenderedPageBreak/>
        <w:t>Case Study Week 7</w:t>
      </w:r>
      <w:bookmarkEnd w:id="7"/>
    </w:p>
    <w:p w:rsidR="00B7396A" w:rsidRDefault="00C819C1" w:rsidP="00B7396A">
      <w:pPr>
        <w:pStyle w:val="APA"/>
      </w:pPr>
      <w:r>
        <w:t>Case Study 17.2</w:t>
      </w:r>
    </w:p>
    <w:p w:rsidR="00C819C1" w:rsidRDefault="00C819C1" w:rsidP="00C819C1">
      <w:pPr>
        <w:pStyle w:val="APA"/>
        <w:numPr>
          <w:ilvl w:val="0"/>
          <w:numId w:val="1"/>
        </w:numPr>
      </w:pPr>
      <w:r>
        <w:t>According to the Alzheimer’s Foundation Web site found at http://www.alz.org/alzheimers_disease_stages_of_alzheimers.asp, what stage of cognitive decline is Claudine experiencing at this point?</w:t>
      </w:r>
    </w:p>
    <w:p w:rsidR="005C027D" w:rsidRDefault="005C027D" w:rsidP="005C027D">
      <w:pPr>
        <w:pStyle w:val="APA"/>
        <w:ind w:left="1080" w:firstLine="0"/>
      </w:pPr>
      <w:r>
        <w:t xml:space="preserve">I would say Claudine is in Stage 3 of cognitive decline since she has increased trouble with planning and organizing, having difficulty remembering how to perform tasks that once came by memorization alone, and all this is noticeable by herself and her friends and family (Seven stages of </w:t>
      </w:r>
      <w:proofErr w:type="spellStart"/>
      <w:r>
        <w:t>alzheimer’s</w:t>
      </w:r>
      <w:proofErr w:type="spellEnd"/>
      <w:r>
        <w:t xml:space="preserve">, 2012). </w:t>
      </w:r>
    </w:p>
    <w:p w:rsidR="00C819C1" w:rsidRDefault="00C819C1" w:rsidP="00C819C1">
      <w:pPr>
        <w:pStyle w:val="APA"/>
        <w:numPr>
          <w:ilvl w:val="0"/>
          <w:numId w:val="1"/>
        </w:numPr>
      </w:pPr>
      <w:r>
        <w:t xml:space="preserve">Discuss the definition of dementia using the Hartford institute for Geriatric Nursing Evidence-Based Practice Web site at http://consultgerirn.org/topics/dementia/want_to_know_more (Fletcher, 2008). What is the prevalence? </w:t>
      </w:r>
    </w:p>
    <w:p w:rsidR="003A53EE" w:rsidRDefault="003A53EE" w:rsidP="003A53EE">
      <w:pPr>
        <w:pStyle w:val="APA"/>
        <w:ind w:left="1080" w:firstLine="0"/>
      </w:pPr>
      <w:r>
        <w:t>According to the Hartford Institute for Geriatric Nursing, dementia is “</w:t>
      </w:r>
      <w:r w:rsidRPr="003A53EE">
        <w:t xml:space="preserve">a clinical syndrome of cognitive deficits that involves both memory impairments and a disturbance in at least one other area of cognition (e.g., aphasia, </w:t>
      </w:r>
      <w:proofErr w:type="spellStart"/>
      <w:r w:rsidRPr="003A53EE">
        <w:t>apraxia</w:t>
      </w:r>
      <w:proofErr w:type="spellEnd"/>
      <w:r w:rsidRPr="003A53EE">
        <w:t xml:space="preserve">, </w:t>
      </w:r>
      <w:proofErr w:type="spellStart"/>
      <w:r w:rsidRPr="003A53EE">
        <w:t>agnosia</w:t>
      </w:r>
      <w:proofErr w:type="spellEnd"/>
      <w:r w:rsidRPr="003A53EE">
        <w:t>) and disturbance in executive functioning</w:t>
      </w:r>
      <w:r w:rsidR="00875EAA">
        <w:t xml:space="preserve">” (Fletcher, 2008). There is an increasing prevalence of progressive dementia in the current aging population. It is important that health professionals are correctly identifying any other existing health problems in these patients and monitoring their progression closely (Fletcher, 2008). </w:t>
      </w:r>
    </w:p>
    <w:p w:rsidR="00C819C1" w:rsidRDefault="00C819C1" w:rsidP="00C819C1">
      <w:pPr>
        <w:pStyle w:val="APA"/>
        <w:numPr>
          <w:ilvl w:val="0"/>
          <w:numId w:val="1"/>
        </w:numPr>
      </w:pPr>
      <w:r>
        <w:t>After conducting an Internet search, identify three reputable Web sites where Claudine’s family can obtain information about Alzheimer’s disease.</w:t>
      </w:r>
    </w:p>
    <w:p w:rsidR="00875EAA" w:rsidRDefault="00875EAA" w:rsidP="00B3563E">
      <w:pPr>
        <w:pStyle w:val="APA"/>
        <w:ind w:left="1080" w:firstLine="0"/>
      </w:pPr>
      <w:r>
        <w:t xml:space="preserve">PubMed Health: </w:t>
      </w:r>
      <w:hyperlink r:id="rId14" w:history="1">
        <w:r w:rsidRPr="00875EAA">
          <w:rPr>
            <w:rStyle w:val="Hyperlink"/>
          </w:rPr>
          <w:t>http://www.ncbi.nlm.nih.gov/pubmedhealth/PMH0001748/</w:t>
        </w:r>
      </w:hyperlink>
      <w:r>
        <w:t xml:space="preserve">, </w:t>
      </w:r>
      <w:r w:rsidR="00B3563E">
        <w:t xml:space="preserve">Mayo Clinic: </w:t>
      </w:r>
      <w:hyperlink r:id="rId15" w:history="1">
        <w:r w:rsidR="00B3563E" w:rsidRPr="00B3563E">
          <w:rPr>
            <w:rStyle w:val="Hyperlink"/>
          </w:rPr>
          <w:t>http://www.mayoclinic.com/health/dementia/DS01131</w:t>
        </w:r>
      </w:hyperlink>
      <w:r w:rsidR="00B3563E">
        <w:t xml:space="preserve">, Dementia.org: </w:t>
      </w:r>
      <w:r w:rsidR="00B3563E" w:rsidRPr="00371D53">
        <w:rPr>
          <w:color w:val="4F81BD"/>
          <w:u w:val="single"/>
        </w:rPr>
        <w:t>http://www.dementia.org/</w:t>
      </w:r>
    </w:p>
    <w:p w:rsidR="00B3563E" w:rsidRDefault="00C819C1" w:rsidP="00B3563E">
      <w:pPr>
        <w:pStyle w:val="APA"/>
        <w:numPr>
          <w:ilvl w:val="0"/>
          <w:numId w:val="1"/>
        </w:numPr>
      </w:pPr>
      <w:r>
        <w:t xml:space="preserve">What warning </w:t>
      </w:r>
      <w:proofErr w:type="gramStart"/>
      <w:r>
        <w:t>signs (behaviors) for Alzheimer</w:t>
      </w:r>
      <w:r w:rsidR="00E414AE">
        <w:t>’</w:t>
      </w:r>
      <w:r>
        <w:t>s</w:t>
      </w:r>
      <w:r w:rsidR="00E414AE">
        <w:t xml:space="preserve"> </w:t>
      </w:r>
      <w:r w:rsidR="00B3563E">
        <w:t>disease does</w:t>
      </w:r>
      <w:proofErr w:type="gramEnd"/>
      <w:r w:rsidR="00B3563E">
        <w:t xml:space="preserve"> the family find on the Alzheimer’s Association Web site at www.alz.org/10signs?</w:t>
      </w:r>
    </w:p>
    <w:p w:rsidR="00B3563E" w:rsidRDefault="00B3563E" w:rsidP="00B3563E">
      <w:pPr>
        <w:pStyle w:val="APA"/>
        <w:ind w:left="1080" w:firstLine="0"/>
      </w:pPr>
      <w:r>
        <w:t xml:space="preserve">According to the Alzheimer’s Association, the ten signs for Alzheimer’s disease are memory loss that disrupts daily life, challenges in planning or solving problems, </w:t>
      </w:r>
      <w:r w:rsidR="007C5618">
        <w:t xml:space="preserve">difficulty completing familiar tasks at home, at work, or at leisure, confusion with time and place, trouble understanding visual images and spatial relationships, new problems with words in speaking or writing, misplacing things and losing the ability to retrace steps, decreased or poor judgment, withdrawal from work or social activities, and changes in mood or personality (10 signs of </w:t>
      </w:r>
      <w:proofErr w:type="spellStart"/>
      <w:r w:rsidR="007C5618">
        <w:t>alzheimers</w:t>
      </w:r>
      <w:proofErr w:type="spellEnd"/>
      <w:r w:rsidR="007C5618">
        <w:t>, 2009).</w:t>
      </w:r>
    </w:p>
    <w:p w:rsidR="007C5618" w:rsidRDefault="007C5618" w:rsidP="007C5618">
      <w:pPr>
        <w:pStyle w:val="APA"/>
        <w:numPr>
          <w:ilvl w:val="0"/>
          <w:numId w:val="1"/>
        </w:numPr>
      </w:pPr>
      <w:r>
        <w:t>According to the Alzheimer’s Association at http://www.alz.org/alzheimers_disease_steps_to_diagnosis.asp what kind of practitioner should Claudine visit?</w:t>
      </w:r>
    </w:p>
    <w:p w:rsidR="007C5618" w:rsidRDefault="00F21743" w:rsidP="007C5618">
      <w:pPr>
        <w:pStyle w:val="APA"/>
        <w:ind w:left="1080" w:firstLine="0"/>
      </w:pPr>
      <w:r>
        <w:t xml:space="preserve">Claudine should visit a neurologist to have cognitive testing done to learn more specific details about her dementia individually (Tests for </w:t>
      </w:r>
      <w:proofErr w:type="gramStart"/>
      <w:r>
        <w:t>Alzheimer’s Disease</w:t>
      </w:r>
      <w:proofErr w:type="gramEnd"/>
      <w:r>
        <w:t xml:space="preserve"> and Dementia, 2012). </w:t>
      </w:r>
    </w:p>
    <w:p w:rsidR="00E46D25" w:rsidRDefault="00E46D25" w:rsidP="00E46D25">
      <w:pPr>
        <w:overflowPunct/>
        <w:textAlignment w:val="auto"/>
        <w:rPr>
          <w:rFonts w:ascii="ITCGaramondStd-Bk" w:hAnsi="ITCGaramondStd-Bk" w:cs="ITCGaramondStd-Bk"/>
          <w:color w:val="FF0000"/>
        </w:rPr>
      </w:pPr>
      <w:r>
        <w:t xml:space="preserve"> </w:t>
      </w:r>
      <w:r w:rsidRPr="00E46D25">
        <w:rPr>
          <w:rFonts w:ascii="ITCGaramondStd-Bk" w:hAnsi="ITCGaramondStd-Bk" w:cs="ITCGaramondStd-Bk"/>
          <w:color w:val="FF0000"/>
        </w:rPr>
        <w:t xml:space="preserve">According to the Alzheimer’s Association, </w:t>
      </w:r>
      <w:r w:rsidRPr="00E46D25">
        <w:rPr>
          <w:rFonts w:ascii="ITCGaramondStd-Bk" w:hAnsi="ITCGaramondStd-Bk" w:cs="ITCGaramondStd-Bk"/>
          <w:b/>
          <w:color w:val="FF0000"/>
        </w:rPr>
        <w:t>no one “type” of practitioner is best for diagnosing Alzheimer’s disease</w:t>
      </w:r>
      <w:r w:rsidRPr="00E46D25">
        <w:rPr>
          <w:rFonts w:ascii="ITCGaramondStd-Bk" w:hAnsi="ITCGaramondStd-Bk" w:cs="ITCGaramondStd-Bk"/>
          <w:color w:val="FF0000"/>
        </w:rPr>
        <w:t>. The Alzheimer’s Association can help a person</w:t>
      </w:r>
      <w:r>
        <w:rPr>
          <w:rFonts w:ascii="ITCGaramondStd-Bk" w:hAnsi="ITCGaramondStd-Bk" w:cs="ITCGaramondStd-Bk"/>
          <w:color w:val="FF0000"/>
        </w:rPr>
        <w:t xml:space="preserve"> </w:t>
      </w:r>
      <w:r w:rsidRPr="00E46D25">
        <w:rPr>
          <w:rFonts w:ascii="ITCGaramondStd-Bk" w:hAnsi="ITCGaramondStd-Bk" w:cs="ITCGaramondStd-Bk"/>
          <w:color w:val="FF0000"/>
        </w:rPr>
        <w:t>find a local practitioner to start the process. Or, a family might choose to visit their</w:t>
      </w:r>
      <w:r>
        <w:rPr>
          <w:rFonts w:ascii="ITCGaramondStd-Bk" w:hAnsi="ITCGaramondStd-Bk" w:cs="ITCGaramondStd-Bk"/>
          <w:color w:val="FF0000"/>
        </w:rPr>
        <w:t xml:space="preserve"> </w:t>
      </w:r>
      <w:r w:rsidRPr="00E46D25">
        <w:rPr>
          <w:rFonts w:ascii="ITCGaramondStd-Bk" w:hAnsi="ITCGaramondStd-Bk" w:cs="ITCGaramondStd-Bk"/>
          <w:color w:val="FF0000"/>
        </w:rPr>
        <w:t>regular physician/practitioner. A general medical practitioner might refer Claudine</w:t>
      </w:r>
      <w:r>
        <w:rPr>
          <w:rFonts w:ascii="ITCGaramondStd-Bk" w:hAnsi="ITCGaramondStd-Bk" w:cs="ITCGaramondStd-Bk"/>
          <w:color w:val="FF0000"/>
        </w:rPr>
        <w:t xml:space="preserve"> </w:t>
      </w:r>
      <w:r w:rsidRPr="00E46D25">
        <w:rPr>
          <w:rFonts w:ascii="ITCGaramondStd-Bk" w:hAnsi="ITCGaramondStd-Bk" w:cs="ITCGaramondStd-Bk"/>
          <w:color w:val="FF0000"/>
        </w:rPr>
        <w:t>to a psychiatrist, a neurologist, or a psychologist for further examination, diagnosis,</w:t>
      </w:r>
      <w:r>
        <w:rPr>
          <w:rFonts w:ascii="ITCGaramondStd-Bk" w:hAnsi="ITCGaramondStd-Bk" w:cs="ITCGaramondStd-Bk"/>
          <w:color w:val="FF0000"/>
        </w:rPr>
        <w:t xml:space="preserve"> </w:t>
      </w:r>
      <w:r w:rsidRPr="00E46D25">
        <w:rPr>
          <w:rFonts w:ascii="ITCGaramondStd-Bk" w:hAnsi="ITCGaramondStd-Bk" w:cs="ITCGaramondStd-Bk"/>
          <w:color w:val="FF0000"/>
        </w:rPr>
        <w:t>and treatment</w:t>
      </w:r>
    </w:p>
    <w:p w:rsidR="00E46D25" w:rsidRDefault="00E46D25" w:rsidP="00E46D25">
      <w:pPr>
        <w:overflowPunct/>
        <w:textAlignment w:val="auto"/>
        <w:rPr>
          <w:rFonts w:ascii="ITCGaramondStd-Bk" w:hAnsi="ITCGaramondStd-Bk" w:cs="ITCGaramondStd-Bk"/>
          <w:color w:val="FF0000"/>
        </w:rPr>
      </w:pPr>
    </w:p>
    <w:p w:rsidR="00E46D25" w:rsidRPr="00E46D25" w:rsidRDefault="00E46D25" w:rsidP="00E46D25">
      <w:pPr>
        <w:overflowPunct/>
        <w:textAlignment w:val="auto"/>
        <w:rPr>
          <w:color w:val="FF0000"/>
        </w:rPr>
      </w:pPr>
    </w:p>
    <w:p w:rsidR="00F21743" w:rsidRDefault="00F21743" w:rsidP="00F21743">
      <w:pPr>
        <w:pStyle w:val="APA"/>
        <w:numPr>
          <w:ilvl w:val="0"/>
          <w:numId w:val="1"/>
        </w:numPr>
      </w:pPr>
      <w:r>
        <w:t xml:space="preserve">What kinds of recommended treatments might Claudine’s family anticipate to slow </w:t>
      </w:r>
      <w:proofErr w:type="gramStart"/>
      <w:r>
        <w:t>the</w:t>
      </w:r>
      <w:proofErr w:type="gramEnd"/>
      <w:r>
        <w:t xml:space="preserve"> progression of Claudine’s disease? Find some of these at http://www.alz.org/alzheimers_disease_standard_prescriptions.asp</w:t>
      </w:r>
    </w:p>
    <w:p w:rsidR="00F21743" w:rsidRDefault="00F21743" w:rsidP="00F21743">
      <w:pPr>
        <w:pStyle w:val="APA"/>
        <w:ind w:left="1080" w:firstLine="0"/>
      </w:pPr>
      <w:r>
        <w:t>Since Claudine is in more of the early to moderate stages of dementia Claudine’s family should consider Cholinesterase inhibitors. This medication helps prevent breakdown of chemical messengers in the brain that help with memory and can delay the worsening of symptoms for up to 12 months. Also the side effects are usually fairly mild. Vitamin E would also be important to consider for Claudine. It is an antioxidant that can help protect brain cells and tissue from breakdown due to the disease (Medications for Memory Loss, 2012).</w:t>
      </w:r>
    </w:p>
    <w:p w:rsidR="00F21743" w:rsidRDefault="00F21743" w:rsidP="00F21743">
      <w:pPr>
        <w:pStyle w:val="APA"/>
        <w:numPr>
          <w:ilvl w:val="0"/>
          <w:numId w:val="1"/>
        </w:numPr>
      </w:pPr>
      <w:r>
        <w:t>What could you tell the family about potential respite services for them? Find information on these at http://www.alz.org/living_with_alzheimers_respite_care.asp</w:t>
      </w:r>
    </w:p>
    <w:p w:rsidR="002C3982" w:rsidRDefault="002C3982" w:rsidP="002C3982">
      <w:pPr>
        <w:pStyle w:val="APA"/>
        <w:ind w:left="1080" w:firstLine="0"/>
      </w:pPr>
      <w:r>
        <w:t>Respite care is an opportunity for the caregivers to get a break while the person with Alzheimer’s participates in social activities and continues to receive care in a safe environment (Respite Care, 2012).</w:t>
      </w:r>
    </w:p>
    <w:p w:rsidR="002C3982" w:rsidRDefault="002C3982" w:rsidP="002C3982">
      <w:pPr>
        <w:pStyle w:val="APA"/>
        <w:numPr>
          <w:ilvl w:val="0"/>
          <w:numId w:val="1"/>
        </w:numPr>
      </w:pPr>
      <w:r>
        <w:t xml:space="preserve">What are some reasons for which the nurse might recommend an adult day care center as a potential option for Mr. Everett to pursue? Find some of these in the Adult Day Center’s </w:t>
      </w:r>
      <w:proofErr w:type="spellStart"/>
      <w:r>
        <w:t>pdf</w:t>
      </w:r>
      <w:proofErr w:type="spellEnd"/>
      <w:r>
        <w:t xml:space="preserve"> document linked from http://www.alz.org/living_with_alzheimers_respite_care.asp</w:t>
      </w:r>
    </w:p>
    <w:p w:rsidR="00F21743" w:rsidRDefault="00C40F68" w:rsidP="007C5618">
      <w:pPr>
        <w:pStyle w:val="APA"/>
        <w:ind w:left="1080" w:firstLine="0"/>
      </w:pPr>
      <w:r>
        <w:t>Taking Claudine to an adult day center would allow her husband to have some time to relax, go to appointments, get his hair cut, and just simply regain his self-identity since he has not had much, if any, time to care for himself lately (Adult Day Centers, 2012).</w:t>
      </w:r>
    </w:p>
    <w:p w:rsidR="00C40F68" w:rsidRDefault="00C40F68" w:rsidP="00C40F68">
      <w:pPr>
        <w:pStyle w:val="APA"/>
        <w:numPr>
          <w:ilvl w:val="0"/>
          <w:numId w:val="1"/>
        </w:numPr>
      </w:pPr>
      <w:r>
        <w:t>What are three questions you would advise the family to consider as they grapple with this issue? You can find some of these at the Web site of National Institute of Aging http://www.nia.nih.gov/Alzheimers/Publications/homesafety.htm#safe</w:t>
      </w:r>
    </w:p>
    <w:p w:rsidR="00C40F68" w:rsidRDefault="00C40F68" w:rsidP="00C40F68">
      <w:pPr>
        <w:pStyle w:val="APA"/>
        <w:ind w:left="1080" w:firstLine="0"/>
      </w:pPr>
      <w:r>
        <w:t>I would advise the family to revamp the house to the point of prevention of falls or other harmful things, help Claudine adapt to her environment instead of trying to make her change, and minimizing danger which will allow her to move about more freely in her own home with less chance of danger</w:t>
      </w:r>
      <w:r w:rsidR="00A10B6F">
        <w:t xml:space="preserve"> (Home Safety for People with Alzheimer’s Disease, 2011)</w:t>
      </w:r>
      <w:r>
        <w:t xml:space="preserve">. </w:t>
      </w:r>
    </w:p>
    <w:p w:rsidR="00C40F68" w:rsidRDefault="00C40F68" w:rsidP="00C40F68">
      <w:pPr>
        <w:pStyle w:val="APA"/>
        <w:numPr>
          <w:ilvl w:val="0"/>
          <w:numId w:val="1"/>
        </w:numPr>
      </w:pPr>
      <w:r>
        <w:t xml:space="preserve">What are two action Claudine’s </w:t>
      </w:r>
      <w:proofErr w:type="gramStart"/>
      <w:r>
        <w:t>family</w:t>
      </w:r>
      <w:proofErr w:type="gramEnd"/>
      <w:r>
        <w:t xml:space="preserve"> could take to promote safety in the home’s entryway?</w:t>
      </w:r>
    </w:p>
    <w:p w:rsidR="00A10B6F" w:rsidRDefault="00A10B6F" w:rsidP="00A10B6F">
      <w:pPr>
        <w:pStyle w:val="APA"/>
        <w:ind w:left="1080" w:firstLine="0"/>
      </w:pPr>
      <w:r>
        <w:t xml:space="preserve">I would suggest making sure the entryway is clear of clutter and does not have any tripping hazards as you cross over from outside to inside. Also I would suggest making a ramp leading to the entry way if the entry way is currently raised in any way. </w:t>
      </w:r>
    </w:p>
    <w:p w:rsidR="00A10B6F" w:rsidRDefault="00A10B6F" w:rsidP="00A10B6F">
      <w:pPr>
        <w:pStyle w:val="APA"/>
        <w:numPr>
          <w:ilvl w:val="0"/>
          <w:numId w:val="1"/>
        </w:numPr>
      </w:pPr>
      <w:r>
        <w:t xml:space="preserve">What are your thoughts on how to best handle this situation in relation to Claudine knowing the truth? </w:t>
      </w:r>
    </w:p>
    <w:p w:rsidR="00C40F68" w:rsidRDefault="00A10B6F" w:rsidP="00C40F68">
      <w:pPr>
        <w:pStyle w:val="APA"/>
        <w:ind w:left="1080" w:firstLine="0"/>
      </w:pPr>
      <w:r>
        <w:t xml:space="preserve">I think it would be best for Mr. Everett to find a way to vaguely explain the situation, but only if Claudine brings it up. It doesn’t seem necessary to work her up if she will soon forget anyway. </w:t>
      </w:r>
    </w:p>
    <w:p w:rsidR="00C40F68" w:rsidRDefault="00C40F68" w:rsidP="00C40F68">
      <w:pPr>
        <w:pStyle w:val="APA"/>
        <w:ind w:left="1080" w:firstLine="0"/>
      </w:pPr>
    </w:p>
    <w:p w:rsidR="00C819C1" w:rsidRDefault="00C819C1" w:rsidP="00B3563E">
      <w:pPr>
        <w:pStyle w:val="APA"/>
        <w:ind w:left="1080" w:firstLine="0"/>
      </w:pPr>
      <w:r>
        <w:t xml:space="preserve"> </w:t>
      </w:r>
    </w:p>
    <w:p w:rsidR="00C819C1" w:rsidRDefault="00C819C1" w:rsidP="00B7396A">
      <w:pPr>
        <w:pStyle w:val="APA"/>
      </w:pPr>
      <w:r>
        <w:t>Case Study 17.3</w:t>
      </w:r>
    </w:p>
    <w:p w:rsidR="007F1C49" w:rsidRDefault="00A10B6F" w:rsidP="007F1C49">
      <w:pPr>
        <w:pStyle w:val="APA"/>
        <w:numPr>
          <w:ilvl w:val="0"/>
          <w:numId w:val="2"/>
        </w:numPr>
      </w:pPr>
      <w:r>
        <w:t>Obtain the pamphlet “Stages of Alzheimer’s Disease.” Based on the above description, which stage of Alzheimer’s disease does Claudine manifest</w:t>
      </w:r>
      <w:r w:rsidR="007F1C49">
        <w:t>?</w:t>
      </w:r>
    </w:p>
    <w:p w:rsidR="007F1C49" w:rsidRDefault="007F1C49" w:rsidP="007F1C49">
      <w:pPr>
        <w:pStyle w:val="APA"/>
        <w:ind w:left="1080" w:firstLine="0"/>
      </w:pPr>
      <w:r>
        <w:t xml:space="preserve">Claudine seems to manifest the symptoms of stage six Alzheimer’s since she cannot correctly recall her past-her sisters, she needs assistance with care since she is having a problem with falls, and she is experiencing a change in personality with her sour attitude (Stages of Alzheimer’s Disease, 2011). </w:t>
      </w:r>
    </w:p>
    <w:p w:rsidR="00E46D25" w:rsidRDefault="00E46D25" w:rsidP="007F1C49">
      <w:pPr>
        <w:pStyle w:val="APA"/>
        <w:ind w:left="1080" w:firstLine="0"/>
      </w:pPr>
      <w:r>
        <w:t xml:space="preserve"> </w:t>
      </w:r>
      <w:proofErr w:type="gramStart"/>
      <w:r w:rsidRPr="00E46D25">
        <w:rPr>
          <w:rFonts w:ascii="ITCGaramondStd-Bk" w:hAnsi="ITCGaramondStd-Bk" w:cs="ITCGaramondStd-Bk"/>
          <w:color w:val="FF0000"/>
        </w:rPr>
        <w:t>Stage 5: Moderately severe cognitive decline</w:t>
      </w:r>
      <w:r>
        <w:rPr>
          <w:rFonts w:ascii="ITCGaramondStd-Bk" w:hAnsi="ITCGaramondStd-Bk" w:cs="ITCGaramondStd-Bk"/>
        </w:rPr>
        <w:t>.</w:t>
      </w:r>
      <w:proofErr w:type="gramEnd"/>
    </w:p>
    <w:p w:rsidR="007F1C49" w:rsidRDefault="007F1C49" w:rsidP="007F1C49">
      <w:pPr>
        <w:pStyle w:val="APA"/>
        <w:numPr>
          <w:ilvl w:val="0"/>
          <w:numId w:val="2"/>
        </w:numPr>
      </w:pPr>
      <w:r>
        <w:t xml:space="preserve">Obtain the </w:t>
      </w:r>
      <w:proofErr w:type="gramStart"/>
      <w:r>
        <w:t>pamphlet  “</w:t>
      </w:r>
      <w:proofErr w:type="gramEnd"/>
      <w:r>
        <w:t xml:space="preserve">Behaviors” and list two ways the family can respond when Claudine exhibits confusion and calls family members by the wrong names. </w:t>
      </w:r>
    </w:p>
    <w:p w:rsidR="007F1C49" w:rsidRDefault="007F1C49" w:rsidP="007F1C49">
      <w:pPr>
        <w:pStyle w:val="APA"/>
        <w:ind w:left="1080" w:firstLine="0"/>
      </w:pPr>
      <w:r>
        <w:t>The family should stay calm and respond with a brief description. This will help Claudine to stay calm and hopefully eliminate further confusion (Behaviors, 2012).</w:t>
      </w:r>
    </w:p>
    <w:p w:rsidR="00A75944" w:rsidRPr="00A75944" w:rsidRDefault="00A75944" w:rsidP="00A75944">
      <w:pPr>
        <w:pStyle w:val="APA"/>
        <w:ind w:left="1440" w:hanging="360"/>
        <w:rPr>
          <w:color w:val="FF0000"/>
        </w:rPr>
      </w:pPr>
      <w:r>
        <w:t xml:space="preserve">  </w:t>
      </w:r>
      <w:r>
        <w:rPr>
          <w:color w:val="FF0000"/>
        </w:rPr>
        <w:t>The hard part is trying not to take all this as personal. Taking care of my 95 yr old grandfather and half the time he thinks I am my mother or an ex wife, or at times just some fat nurse that is irritating him.</w:t>
      </w:r>
    </w:p>
    <w:p w:rsidR="007F1C49" w:rsidRDefault="007F1C49" w:rsidP="007F1C49">
      <w:pPr>
        <w:pStyle w:val="APA"/>
        <w:numPr>
          <w:ilvl w:val="0"/>
          <w:numId w:val="2"/>
        </w:numPr>
      </w:pPr>
      <w:r>
        <w:t>The family also wants to know how to respond to her “begging to go with them when they leave. Find a recommendation from the pamphlet “Behaviors” for the family to use in response to these repeated requests. What other ideas might work?</w:t>
      </w:r>
    </w:p>
    <w:p w:rsidR="007F1C49" w:rsidRDefault="00874CA9" w:rsidP="007F1C49">
      <w:pPr>
        <w:pStyle w:val="APA"/>
        <w:ind w:left="1080" w:firstLine="0"/>
      </w:pPr>
      <w:r>
        <w:t>The family could deal with her “begging” by providing reassurance that they will return, try and calm her down and distract her with another activity before they leave so she has something else to think about, look for a reason why she might be saying this repeatedly, talk to Claudine about her feelings on this, and stay calm (Behaviors, 2012).</w:t>
      </w:r>
    </w:p>
    <w:p w:rsidR="00874CA9" w:rsidRDefault="00874CA9" w:rsidP="00874CA9">
      <w:pPr>
        <w:pStyle w:val="APA"/>
        <w:numPr>
          <w:ilvl w:val="0"/>
          <w:numId w:val="2"/>
        </w:numPr>
      </w:pPr>
      <w:r>
        <w:t xml:space="preserve">Discuss examples of providing a therapeutic and safe environment for an institutionalized individual with Alzheimer’s disease. </w:t>
      </w:r>
    </w:p>
    <w:p w:rsidR="00874CA9" w:rsidRDefault="00874CA9" w:rsidP="00874CA9">
      <w:pPr>
        <w:pStyle w:val="APA"/>
        <w:ind w:left="1080" w:firstLine="0"/>
      </w:pPr>
      <w:r>
        <w:t xml:space="preserve">I think it is very important that Claudine’s husband and daughters continue to participate in regular patient care conferences on the skilled unit and provide their input. It is also important that Claudine’s room remains uncluttered, with no obstacles that would pose as safety hazards. </w:t>
      </w:r>
    </w:p>
    <w:p w:rsidR="00874CA9" w:rsidRDefault="00874CA9" w:rsidP="00874CA9">
      <w:pPr>
        <w:pStyle w:val="APA"/>
        <w:numPr>
          <w:ilvl w:val="0"/>
          <w:numId w:val="2"/>
        </w:numPr>
      </w:pPr>
      <w:r>
        <w:t>Obtain the pamphlet “Communication” from the Alzheimer’s Association Web site and identify two ways to best communicate with Claudine at this stage of her illness.</w:t>
      </w:r>
    </w:p>
    <w:p w:rsidR="00874CA9" w:rsidRDefault="00874CA9" w:rsidP="00874CA9">
      <w:pPr>
        <w:pStyle w:val="APA"/>
        <w:ind w:left="1080" w:firstLine="0"/>
      </w:pPr>
      <w:r>
        <w:t xml:space="preserve">The family should make sure they are being patient and supportive and offering comfort and reassurance at this stage of Claudine’s illness (Communication, 2012). </w:t>
      </w:r>
    </w:p>
    <w:p w:rsidR="00A75944" w:rsidRPr="00A75944" w:rsidRDefault="00A75944" w:rsidP="00A75944">
      <w:pPr>
        <w:numPr>
          <w:ilvl w:val="0"/>
          <w:numId w:val="3"/>
        </w:numPr>
        <w:overflowPunct/>
        <w:textAlignment w:val="auto"/>
        <w:rPr>
          <w:rFonts w:ascii="ITCGaramondStd-Bk" w:hAnsi="ITCGaramondStd-Bk" w:cs="ITCGaramondStd-Bk"/>
          <w:color w:val="FF0000"/>
        </w:rPr>
      </w:pPr>
      <w:r w:rsidRPr="00A75944">
        <w:rPr>
          <w:rFonts w:ascii="ITCGaramondStd-Bk" w:hAnsi="ITCGaramondStd-Bk" w:cs="ITCGaramondStd-Bk"/>
          <w:color w:val="FF0000"/>
        </w:rPr>
        <w:t>Identify yourself; b. Call the person by name; c. Talk slowly and clearly; d. Patiently wait for a response</w:t>
      </w:r>
    </w:p>
    <w:p w:rsidR="00A75944" w:rsidRDefault="00A75944" w:rsidP="00A75944">
      <w:pPr>
        <w:overflowPunct/>
        <w:ind w:left="1590"/>
        <w:textAlignment w:val="auto"/>
      </w:pPr>
    </w:p>
    <w:p w:rsidR="00874CA9" w:rsidRDefault="00874CA9" w:rsidP="00874CA9">
      <w:pPr>
        <w:pStyle w:val="APA"/>
        <w:numPr>
          <w:ilvl w:val="0"/>
          <w:numId w:val="2"/>
        </w:numPr>
      </w:pPr>
      <w:r>
        <w:t xml:space="preserve">What recommendations are given for urinary incontinence? </w:t>
      </w:r>
    </w:p>
    <w:p w:rsidR="003F21F7" w:rsidRDefault="003F21F7" w:rsidP="003F21F7">
      <w:pPr>
        <w:pStyle w:val="APA"/>
        <w:ind w:left="1080" w:firstLine="0"/>
      </w:pPr>
      <w:r>
        <w:t>It is recommended to use briefs and bed pads at night to help with a regular voiding schedule. It is also important to keep track of the intake and output and schedule of voiding to help so you can help keep on that schedule (Late-Stage Caregiving, 2012).</w:t>
      </w:r>
    </w:p>
    <w:p w:rsidR="003F21F7" w:rsidRDefault="003F21F7" w:rsidP="003F21F7">
      <w:pPr>
        <w:pStyle w:val="APA"/>
        <w:numPr>
          <w:ilvl w:val="0"/>
          <w:numId w:val="2"/>
        </w:numPr>
      </w:pPr>
      <w:r>
        <w:t xml:space="preserve">List three recommendations for helping Claudine to eat and drink safely. </w:t>
      </w:r>
    </w:p>
    <w:p w:rsidR="003F21F7" w:rsidRDefault="003F21F7" w:rsidP="003F21F7">
      <w:pPr>
        <w:pStyle w:val="APA"/>
        <w:ind w:left="1080" w:firstLine="0"/>
      </w:pPr>
      <w:r>
        <w:t xml:space="preserve">Make sure she is in a comfortable, upright position when eating or drinking, choose softer foods that are easy to chew and swallow, and assist her with feeding, alternating small bites of food and fluids (Late-Stage </w:t>
      </w:r>
      <w:proofErr w:type="spellStart"/>
      <w:r>
        <w:t>Caregiving</w:t>
      </w:r>
      <w:proofErr w:type="spellEnd"/>
      <w:r>
        <w:t>, 2012).</w:t>
      </w:r>
      <w:r w:rsidR="00A75944">
        <w:t xml:space="preserve">  Need to </w:t>
      </w:r>
      <w:r w:rsidR="00A75944" w:rsidRPr="00A75944">
        <w:rPr>
          <w:color w:val="FF0000"/>
        </w:rPr>
        <w:t>monitor her weight for weight loss</w:t>
      </w:r>
    </w:p>
    <w:p w:rsidR="003F21F7" w:rsidRDefault="003F21F7" w:rsidP="003F21F7">
      <w:pPr>
        <w:pStyle w:val="APA"/>
        <w:numPr>
          <w:ilvl w:val="0"/>
          <w:numId w:val="2"/>
        </w:numPr>
      </w:pPr>
      <w:r>
        <w:t>Discuss three actions for keeping Claudine’s skin healthy and free of skin breakdown.</w:t>
      </w:r>
    </w:p>
    <w:p w:rsidR="003F21F7" w:rsidRDefault="00B43520" w:rsidP="003F21F7">
      <w:pPr>
        <w:pStyle w:val="APA"/>
        <w:ind w:left="1080" w:firstLine="0"/>
      </w:pPr>
      <w:r>
        <w:t xml:space="preserve">Change her body position at least every two hours to keep blood flow to all areas, make sure to properly lift and move her, being careful not to pull on the arms and shoulders, keep her skin dry and clean so rashes or breakdown does not occur (Late-Stage Caregiving, 2012). </w:t>
      </w:r>
    </w:p>
    <w:p w:rsidR="00B43520" w:rsidRDefault="009C6EBA" w:rsidP="00B43520">
      <w:pPr>
        <w:pStyle w:val="APA"/>
        <w:numPr>
          <w:ilvl w:val="0"/>
          <w:numId w:val="2"/>
        </w:numPr>
      </w:pPr>
      <w:r>
        <w:t xml:space="preserve">The family asks, “Is Claudine in pain?” What are some signs of pain in a person with Alzheimer’s disease? </w:t>
      </w:r>
    </w:p>
    <w:p w:rsidR="009C6EBA" w:rsidRDefault="009C6EBA" w:rsidP="009C6EBA">
      <w:pPr>
        <w:pStyle w:val="APA"/>
        <w:ind w:left="1080" w:firstLine="0"/>
      </w:pPr>
      <w:r>
        <w:t>The family should look for physical signs of things that would cause Claudine pain like pale or flushed skin tones, dry or pale gums, mouth sores, vomiting, feverish skin, or swelling of any parts of the body. Also they should look for pay attention to nonverbal signs of her experiencing the pain such as gestures or sounds and facial expressions. The family should also watch for any change in behavior such as anxiety, agitation, shouting, or sleeping problems (Late-Stage Caregiving, 2012).</w:t>
      </w:r>
    </w:p>
    <w:p w:rsidR="009C6EBA" w:rsidRDefault="009C6EBA" w:rsidP="009C6EBA">
      <w:pPr>
        <w:pStyle w:val="APA"/>
        <w:numPr>
          <w:ilvl w:val="0"/>
          <w:numId w:val="2"/>
        </w:numPr>
      </w:pPr>
      <w:r>
        <w:t xml:space="preserve">Because Claudine is declining rapidly, the family wonders whether she </w:t>
      </w:r>
      <w:r w:rsidR="00B86B09">
        <w:t xml:space="preserve">would be eligible for hospice care while in the nursing home. Is hospice care available in a long-term care facility? </w:t>
      </w:r>
    </w:p>
    <w:p w:rsidR="00B86B09" w:rsidRDefault="00B86B09" w:rsidP="00B86B09">
      <w:pPr>
        <w:pStyle w:val="APA"/>
        <w:ind w:left="1080" w:firstLine="0"/>
      </w:pPr>
      <w:r>
        <w:t xml:space="preserve">Hospice can be provided in many places that people call home, including long-term care facilities. As long as Claudine gets a doctor’s diagnosis that she has six months or less to live, she will qualify for hospice (Hospice Care for </w:t>
      </w:r>
      <w:proofErr w:type="spellStart"/>
      <w:r>
        <w:t>Alzheimers</w:t>
      </w:r>
      <w:proofErr w:type="spellEnd"/>
      <w:r>
        <w:t>, 2012).</w:t>
      </w:r>
    </w:p>
    <w:p w:rsidR="00B86B09" w:rsidRDefault="00B86B09" w:rsidP="009C6EBA">
      <w:pPr>
        <w:pStyle w:val="APA"/>
        <w:numPr>
          <w:ilvl w:val="0"/>
          <w:numId w:val="2"/>
        </w:numPr>
      </w:pPr>
      <w:r>
        <w:t xml:space="preserve">What would be the purpose of involving hospice in her care since Claudine is already receiving long-term care? </w:t>
      </w:r>
    </w:p>
    <w:p w:rsidR="00B86B09" w:rsidRDefault="00B86B09" w:rsidP="00B86B09">
      <w:pPr>
        <w:pStyle w:val="APA"/>
        <w:ind w:left="1080" w:firstLine="0"/>
      </w:pPr>
      <w:r>
        <w:t xml:space="preserve">Hospice provides comfort and counseling for the dying patient and the coping family. </w:t>
      </w:r>
      <w:r w:rsidR="00044C49">
        <w:t xml:space="preserve">They can also provide pain meds for the dying patient to make sure he or she is comfortable. There is also respite care available so the family can take a break if needed and know their loved one is in good hands (Hospice Care for </w:t>
      </w:r>
      <w:proofErr w:type="spellStart"/>
      <w:r w:rsidR="00044C49">
        <w:t>Alzheimers</w:t>
      </w:r>
      <w:proofErr w:type="spellEnd"/>
      <w:r w:rsidR="00044C49">
        <w:t xml:space="preserve">, 2012). </w:t>
      </w:r>
    </w:p>
    <w:p w:rsidR="007F1C49" w:rsidRDefault="007F1C49" w:rsidP="007F1C49">
      <w:pPr>
        <w:pStyle w:val="APA"/>
        <w:ind w:left="720" w:firstLine="0"/>
        <w:jc w:val="center"/>
      </w:pPr>
    </w:p>
    <w:p w:rsidR="007F1C49" w:rsidRDefault="007F1C49" w:rsidP="007F1C49">
      <w:pPr>
        <w:pStyle w:val="APA"/>
        <w:ind w:left="720" w:firstLine="0"/>
        <w:jc w:val="center"/>
      </w:pPr>
    </w:p>
    <w:p w:rsidR="006403AA" w:rsidRDefault="006403AA" w:rsidP="007F1C49">
      <w:pPr>
        <w:pStyle w:val="APA"/>
        <w:ind w:left="720" w:firstLine="0"/>
        <w:jc w:val="center"/>
      </w:pPr>
    </w:p>
    <w:p w:rsidR="006403AA" w:rsidRDefault="006403AA" w:rsidP="007F1C49">
      <w:pPr>
        <w:pStyle w:val="APA"/>
        <w:ind w:left="720" w:firstLine="0"/>
        <w:jc w:val="center"/>
      </w:pPr>
    </w:p>
    <w:p w:rsidR="005C027D" w:rsidRDefault="007F1C49" w:rsidP="007F1C49">
      <w:pPr>
        <w:pStyle w:val="APA"/>
        <w:ind w:left="720" w:firstLine="0"/>
        <w:jc w:val="center"/>
      </w:pPr>
      <w:bookmarkStart w:id="8" w:name="_GoBack"/>
      <w:bookmarkEnd w:id="8"/>
      <w:r>
        <w:t>Ref</w:t>
      </w:r>
      <w:r w:rsidR="005C027D">
        <w:t>erences</w:t>
      </w:r>
      <w:r>
        <w:t xml:space="preserve"> (Case Study 17.2)</w:t>
      </w:r>
    </w:p>
    <w:p w:rsidR="007C5618" w:rsidRDefault="005C027D" w:rsidP="007C5618">
      <w:pPr>
        <w:pStyle w:val="APA"/>
        <w:ind w:left="720" w:firstLine="0"/>
      </w:pPr>
      <w:proofErr w:type="gramStart"/>
      <w:r w:rsidRPr="005C027D">
        <w:rPr>
          <w:i/>
          <w:iCs/>
        </w:rPr>
        <w:t xml:space="preserve">Seven stages of </w:t>
      </w:r>
      <w:proofErr w:type="spellStart"/>
      <w:r w:rsidRPr="005C027D">
        <w:rPr>
          <w:i/>
          <w:iCs/>
        </w:rPr>
        <w:t>alzheimer's</w:t>
      </w:r>
      <w:proofErr w:type="spellEnd"/>
      <w:r w:rsidRPr="005C027D">
        <w:t>.</w:t>
      </w:r>
      <w:proofErr w:type="gramEnd"/>
      <w:r w:rsidRPr="005C027D">
        <w:t xml:space="preserve"> (2012). Retrieved from </w:t>
      </w:r>
      <w:commentRangeStart w:id="9"/>
      <w:r w:rsidRPr="005C027D">
        <w:t>Alzheimer's Association website: http://www.alz.org/alzheimers_disease_stages_of_alzheimers.asp#stage4</w:t>
      </w:r>
    </w:p>
    <w:p w:rsidR="007C5618" w:rsidRDefault="007C5618" w:rsidP="007C5618">
      <w:pPr>
        <w:pStyle w:val="APA"/>
        <w:spacing w:before="240"/>
        <w:ind w:left="720" w:firstLine="0"/>
      </w:pPr>
      <w:proofErr w:type="gramStart"/>
      <w:r>
        <w:rPr>
          <w:i/>
        </w:rPr>
        <w:t xml:space="preserve">10 Signs of </w:t>
      </w:r>
      <w:proofErr w:type="spellStart"/>
      <w:r>
        <w:rPr>
          <w:i/>
        </w:rPr>
        <w:t>alzheimers</w:t>
      </w:r>
      <w:proofErr w:type="spellEnd"/>
      <w:r>
        <w:rPr>
          <w:i/>
        </w:rPr>
        <w:t>.</w:t>
      </w:r>
      <w:proofErr w:type="gramEnd"/>
      <w:r>
        <w:rPr>
          <w:i/>
        </w:rPr>
        <w:t xml:space="preserve"> </w:t>
      </w:r>
      <w:r>
        <w:t xml:space="preserve">(2009). Retrieved from Alzheimer’s Association website: </w:t>
      </w:r>
      <w:commentRangeEnd w:id="9"/>
      <w:r w:rsidR="00921502">
        <w:rPr>
          <w:rStyle w:val="CommentReference"/>
        </w:rPr>
        <w:commentReference w:id="9"/>
      </w:r>
      <w:r w:rsidRPr="007C5618">
        <w:t>http://www.alz.org/alzheimers_disease_10_signs_of_alzheimers.asp</w:t>
      </w:r>
    </w:p>
    <w:p w:rsidR="002C3982" w:rsidRDefault="002C3982" w:rsidP="007C5618">
      <w:pPr>
        <w:pStyle w:val="APA"/>
        <w:spacing w:before="240"/>
        <w:ind w:left="720" w:firstLine="0"/>
      </w:pPr>
      <w:r>
        <w:rPr>
          <w:i/>
        </w:rPr>
        <w:t>Respite care.</w:t>
      </w:r>
      <w:r>
        <w:t xml:space="preserve"> (2012). Retrieved from Alzheimer’s Association website: </w:t>
      </w:r>
      <w:r w:rsidRPr="002C3982">
        <w:t>http://www.alz.org/care/alzheimers-dementia-caregiver-respite.asp</w:t>
      </w:r>
    </w:p>
    <w:p w:rsidR="00C40F68" w:rsidRDefault="00C40F68" w:rsidP="007C5618">
      <w:pPr>
        <w:pStyle w:val="APA"/>
        <w:spacing w:before="240"/>
        <w:ind w:left="720" w:firstLine="0"/>
      </w:pPr>
      <w:r>
        <w:rPr>
          <w:i/>
        </w:rPr>
        <w:t>Adult day centers.</w:t>
      </w:r>
      <w:r>
        <w:t xml:space="preserve"> (2012). Retrieved from Alzheimer’s Association website: </w:t>
      </w:r>
      <w:r w:rsidRPr="00C40F68">
        <w:t>http://www.alz.org/care/alzheimers-dementia-adult-day-centers.asp</w:t>
      </w:r>
    </w:p>
    <w:p w:rsidR="00A10B6F" w:rsidRPr="00A10B6F" w:rsidRDefault="00A10B6F" w:rsidP="007C5618">
      <w:pPr>
        <w:pStyle w:val="APA"/>
        <w:spacing w:before="240"/>
        <w:ind w:left="720" w:firstLine="0"/>
      </w:pPr>
      <w:r w:rsidRPr="00A10B6F">
        <w:rPr>
          <w:i/>
        </w:rPr>
        <w:t xml:space="preserve">Home Safety for People with </w:t>
      </w:r>
      <w:proofErr w:type="gramStart"/>
      <w:r w:rsidRPr="00A10B6F">
        <w:rPr>
          <w:i/>
        </w:rPr>
        <w:t>Alzheimer’s Disease</w:t>
      </w:r>
      <w:proofErr w:type="gramEnd"/>
      <w:r>
        <w:rPr>
          <w:i/>
        </w:rPr>
        <w:t xml:space="preserve">. </w:t>
      </w:r>
      <w:r>
        <w:t xml:space="preserve">(2011). Retrieved from National Institute on Aging website: </w:t>
      </w:r>
      <w:r w:rsidRPr="00A10B6F">
        <w:t>http://www.nia.nih.gov/alzheimers/publication/home-safety-people-alzheimers-disease/general-safety-concerns</w:t>
      </w:r>
    </w:p>
    <w:p w:rsidR="00F21743" w:rsidRPr="00F21743" w:rsidRDefault="00F21743" w:rsidP="007C5618">
      <w:pPr>
        <w:pStyle w:val="APA"/>
        <w:spacing w:before="240"/>
        <w:ind w:left="720" w:firstLine="0"/>
      </w:pPr>
      <w:proofErr w:type="gramStart"/>
      <w:r>
        <w:rPr>
          <w:i/>
        </w:rPr>
        <w:t xml:space="preserve">Tests for </w:t>
      </w:r>
      <w:r w:rsidR="00921502">
        <w:rPr>
          <w:i/>
          <w:color w:val="FF0000"/>
        </w:rPr>
        <w:t>A</w:t>
      </w:r>
      <w:r w:rsidRPr="00921502">
        <w:rPr>
          <w:i/>
          <w:color w:val="FF0000"/>
        </w:rPr>
        <w:t>lzheimer’s</w:t>
      </w:r>
      <w:r>
        <w:rPr>
          <w:i/>
        </w:rPr>
        <w:t xml:space="preserve"> disease and dementia.</w:t>
      </w:r>
      <w:proofErr w:type="gramEnd"/>
      <w:r>
        <w:t xml:space="preserve"> (2012). Retrieved from Alzheimer’s Association website: </w:t>
      </w:r>
      <w:r w:rsidRPr="00F21743">
        <w:t>http://www.alz.org/alzheimers_disease_steps_to_diagnosis.asp</w:t>
      </w:r>
    </w:p>
    <w:p w:rsidR="00875EAA" w:rsidRDefault="00875EAA" w:rsidP="005C027D">
      <w:pPr>
        <w:pStyle w:val="APA"/>
        <w:ind w:left="720" w:firstLine="0"/>
      </w:pPr>
    </w:p>
    <w:p w:rsidR="00875EAA" w:rsidRDefault="00875EAA" w:rsidP="005C027D">
      <w:pPr>
        <w:pStyle w:val="APA"/>
        <w:ind w:left="720" w:firstLine="0"/>
      </w:pPr>
      <w:r w:rsidRPr="00875EAA">
        <w:t>Fletcher, K. (2008, January). </w:t>
      </w:r>
      <w:r w:rsidRPr="00875EAA">
        <w:rPr>
          <w:i/>
          <w:iCs/>
        </w:rPr>
        <w:t>Dementia nursing standard of practice protocol: recognition and management of dementia</w:t>
      </w:r>
      <w:r w:rsidRPr="00875EAA">
        <w:t>. Retrieved from Hartford Institute for Geriatric Nursing website: http://consultgerirn.org/topics/dementia/want_to_know_more</w:t>
      </w:r>
    </w:p>
    <w:p w:rsidR="00B3563E" w:rsidRDefault="00B3563E" w:rsidP="005C027D">
      <w:pPr>
        <w:pStyle w:val="APA"/>
        <w:ind w:left="720" w:firstLine="0"/>
      </w:pPr>
    </w:p>
    <w:p w:rsidR="00B3563E" w:rsidRDefault="00B3563E" w:rsidP="005C027D">
      <w:pPr>
        <w:pStyle w:val="APA"/>
        <w:ind w:left="720" w:firstLine="0"/>
      </w:pPr>
      <w:proofErr w:type="gramStart"/>
      <w:r w:rsidRPr="00B3563E">
        <w:rPr>
          <w:i/>
          <w:iCs/>
        </w:rPr>
        <w:t>Dementia</w:t>
      </w:r>
      <w:r w:rsidRPr="00B3563E">
        <w:t>.</w:t>
      </w:r>
      <w:proofErr w:type="gramEnd"/>
      <w:r w:rsidRPr="00B3563E">
        <w:t xml:space="preserve"> (2012). Retrieved from </w:t>
      </w:r>
      <w:proofErr w:type="spellStart"/>
      <w:r w:rsidRPr="00B3563E">
        <w:t>PubMed</w:t>
      </w:r>
      <w:proofErr w:type="spellEnd"/>
      <w:r w:rsidRPr="00B3563E">
        <w:t xml:space="preserve"> Health website: http://www.ncbi.nlm.</w:t>
      </w:r>
      <w:commentRangeStart w:id="10"/>
      <w:r w:rsidRPr="00B3563E">
        <w:t>nih</w:t>
      </w:r>
      <w:commentRangeEnd w:id="10"/>
      <w:r w:rsidR="00921502">
        <w:rPr>
          <w:rStyle w:val="CommentReference"/>
        </w:rPr>
        <w:commentReference w:id="10"/>
      </w:r>
      <w:r w:rsidRPr="00B3563E">
        <w:t>.gov/pubmedhealth/PMH0001748/</w:t>
      </w:r>
    </w:p>
    <w:p w:rsidR="00B3563E" w:rsidRDefault="00B3563E" w:rsidP="005C027D">
      <w:pPr>
        <w:pStyle w:val="APA"/>
        <w:ind w:left="720" w:firstLine="0"/>
      </w:pPr>
    </w:p>
    <w:p w:rsidR="00B3563E" w:rsidRDefault="00B3563E" w:rsidP="005C027D">
      <w:pPr>
        <w:pStyle w:val="APA"/>
        <w:ind w:left="720" w:firstLine="0"/>
      </w:pPr>
      <w:proofErr w:type="gramStart"/>
      <w:r w:rsidRPr="00B3563E">
        <w:rPr>
          <w:i/>
          <w:iCs/>
        </w:rPr>
        <w:t>Dementia</w:t>
      </w:r>
      <w:r w:rsidRPr="00B3563E">
        <w:t>.</w:t>
      </w:r>
      <w:proofErr w:type="gramEnd"/>
      <w:r w:rsidRPr="00B3563E">
        <w:t xml:space="preserve"> (2012). Retrieved from </w:t>
      </w:r>
      <w:commentRangeStart w:id="11"/>
      <w:r w:rsidRPr="00B3563E">
        <w:t xml:space="preserve">Mayo Clinic </w:t>
      </w:r>
      <w:commentRangeEnd w:id="11"/>
      <w:r w:rsidR="00921502">
        <w:rPr>
          <w:rStyle w:val="CommentReference"/>
        </w:rPr>
        <w:commentReference w:id="11"/>
      </w:r>
      <w:r w:rsidRPr="00B3563E">
        <w:t>website: http://www.mayoclinic.com/health/dementia/DS01131</w:t>
      </w:r>
    </w:p>
    <w:p w:rsidR="00B3563E" w:rsidRDefault="00B3563E" w:rsidP="005C027D">
      <w:pPr>
        <w:pStyle w:val="APA"/>
        <w:ind w:left="720" w:firstLine="0"/>
      </w:pPr>
    </w:p>
    <w:p w:rsidR="00B3563E" w:rsidRDefault="00B3563E" w:rsidP="005C027D">
      <w:pPr>
        <w:pStyle w:val="APA"/>
        <w:ind w:left="720" w:firstLine="0"/>
      </w:pPr>
      <w:proofErr w:type="gramStart"/>
      <w:r w:rsidRPr="00B3563E">
        <w:rPr>
          <w:i/>
          <w:iCs/>
        </w:rPr>
        <w:t xml:space="preserve">Dementia </w:t>
      </w:r>
      <w:r>
        <w:rPr>
          <w:i/>
          <w:iCs/>
        </w:rPr>
        <w:t>overview</w:t>
      </w:r>
      <w:r w:rsidRPr="00B3563E">
        <w:t>.</w:t>
      </w:r>
      <w:proofErr w:type="gramEnd"/>
      <w:r w:rsidRPr="00B3563E">
        <w:t xml:space="preserve"> (2012). Retrieved from Dementia.org website: http://www.dementia.org/</w:t>
      </w:r>
    </w:p>
    <w:p w:rsidR="007F1C49" w:rsidRDefault="007F1C49" w:rsidP="005C027D">
      <w:pPr>
        <w:pStyle w:val="APA"/>
        <w:ind w:left="720" w:firstLine="0"/>
      </w:pPr>
    </w:p>
    <w:p w:rsidR="007F1C49" w:rsidRDefault="007F1C49" w:rsidP="007F1C49">
      <w:pPr>
        <w:pStyle w:val="APA"/>
        <w:ind w:left="720" w:firstLine="0"/>
        <w:jc w:val="center"/>
      </w:pPr>
      <w:r>
        <w:t>Reference (Case Study 17.3)</w:t>
      </w:r>
    </w:p>
    <w:p w:rsidR="007F1C49" w:rsidRDefault="007F1C49" w:rsidP="005C027D">
      <w:pPr>
        <w:pStyle w:val="APA"/>
        <w:ind w:left="720" w:firstLine="0"/>
      </w:pPr>
      <w:proofErr w:type="gramStart"/>
      <w:r>
        <w:rPr>
          <w:i/>
        </w:rPr>
        <w:t xml:space="preserve">Stages of </w:t>
      </w:r>
      <w:r w:rsidR="00921502" w:rsidRPr="00921502">
        <w:rPr>
          <w:i/>
          <w:color w:val="FF0000"/>
        </w:rPr>
        <w:t>A</w:t>
      </w:r>
      <w:r>
        <w:rPr>
          <w:i/>
        </w:rPr>
        <w:t>lzheimer’s disease.</w:t>
      </w:r>
      <w:proofErr w:type="gramEnd"/>
      <w:r>
        <w:rPr>
          <w:i/>
        </w:rPr>
        <w:t xml:space="preserve"> </w:t>
      </w:r>
      <w:proofErr w:type="gramStart"/>
      <w:r>
        <w:t>(2011, October).</w:t>
      </w:r>
      <w:proofErr w:type="gramEnd"/>
      <w:r>
        <w:t xml:space="preserve"> Retrieved from Alzheimer’s Association website: </w:t>
      </w:r>
      <w:r w:rsidRPr="007F1C49">
        <w:t>http://www.alz.org/national/documents/topicsheet_stages.pdf</w:t>
      </w:r>
    </w:p>
    <w:p w:rsidR="007F1C49" w:rsidRDefault="007F1C49" w:rsidP="005C027D">
      <w:pPr>
        <w:pStyle w:val="APA"/>
        <w:ind w:left="720" w:firstLine="0"/>
      </w:pPr>
    </w:p>
    <w:p w:rsidR="007F1C49" w:rsidRDefault="007F1C49" w:rsidP="005C027D">
      <w:pPr>
        <w:pStyle w:val="APA"/>
        <w:ind w:left="720" w:firstLine="0"/>
      </w:pPr>
      <w:proofErr w:type="gramStart"/>
      <w:r>
        <w:rPr>
          <w:i/>
        </w:rPr>
        <w:t>Behaviors.</w:t>
      </w:r>
      <w:proofErr w:type="gramEnd"/>
      <w:r>
        <w:t xml:space="preserve"> (2012). Retrieved from Alzheimer’s Association website: </w:t>
      </w:r>
      <w:r w:rsidRPr="007F1C49">
        <w:t>http://www.alz.org/national/documents/brochure_behaviors.pdf</w:t>
      </w:r>
    </w:p>
    <w:p w:rsidR="00874CA9" w:rsidRDefault="00874CA9" w:rsidP="005C027D">
      <w:pPr>
        <w:pStyle w:val="APA"/>
        <w:ind w:left="720" w:firstLine="0"/>
        <w:rPr>
          <w:i/>
        </w:rPr>
      </w:pPr>
    </w:p>
    <w:p w:rsidR="00874CA9" w:rsidRDefault="00874CA9" w:rsidP="005C027D">
      <w:pPr>
        <w:pStyle w:val="APA"/>
        <w:ind w:left="720" w:firstLine="0"/>
      </w:pPr>
      <w:proofErr w:type="gramStart"/>
      <w:r>
        <w:rPr>
          <w:i/>
        </w:rPr>
        <w:t>Communication.</w:t>
      </w:r>
      <w:proofErr w:type="gramEnd"/>
      <w:r>
        <w:t xml:space="preserve"> (2012). Retrieved from Alzheimer’s Association website: </w:t>
      </w:r>
      <w:r w:rsidRPr="00874CA9">
        <w:t>http://www.alz.org/national/documents/brochure_communication.pdf</w:t>
      </w:r>
    </w:p>
    <w:p w:rsidR="00B86B09" w:rsidRDefault="00B86B09" w:rsidP="005C027D">
      <w:pPr>
        <w:pStyle w:val="APA"/>
        <w:ind w:left="720" w:firstLine="0"/>
        <w:rPr>
          <w:i/>
        </w:rPr>
      </w:pPr>
    </w:p>
    <w:p w:rsidR="00B86B09" w:rsidRPr="00B86B09" w:rsidRDefault="00B86B09" w:rsidP="005C027D">
      <w:pPr>
        <w:pStyle w:val="APA"/>
        <w:ind w:left="720" w:firstLine="0"/>
      </w:pPr>
      <w:proofErr w:type="gramStart"/>
      <w:r>
        <w:rPr>
          <w:i/>
        </w:rPr>
        <w:t xml:space="preserve">Hospice care for </w:t>
      </w:r>
      <w:r w:rsidR="00921502">
        <w:rPr>
          <w:i/>
          <w:color w:val="FF0000"/>
        </w:rPr>
        <w:t>A</w:t>
      </w:r>
      <w:r>
        <w:rPr>
          <w:i/>
        </w:rPr>
        <w:t>lzheimer’s.</w:t>
      </w:r>
      <w:proofErr w:type="gramEnd"/>
      <w:r>
        <w:rPr>
          <w:i/>
        </w:rPr>
        <w:t xml:space="preserve"> </w:t>
      </w:r>
      <w:r>
        <w:t xml:space="preserve">(2012). Retrieved from Alzheimer’s Association website: </w:t>
      </w:r>
      <w:r w:rsidRPr="00B86B09">
        <w:t>http://www.alz.org/care/alzheimers-dementia-hospice.asp</w:t>
      </w:r>
    </w:p>
    <w:p w:rsidR="003F21F7" w:rsidRDefault="003F21F7" w:rsidP="005C027D">
      <w:pPr>
        <w:pStyle w:val="APA"/>
        <w:ind w:left="720" w:firstLine="0"/>
      </w:pPr>
    </w:p>
    <w:p w:rsidR="003F21F7" w:rsidRPr="003F21F7" w:rsidRDefault="003F21F7" w:rsidP="005C027D">
      <w:pPr>
        <w:pStyle w:val="APA"/>
        <w:ind w:left="720" w:firstLine="0"/>
      </w:pPr>
      <w:proofErr w:type="gramStart"/>
      <w:r>
        <w:rPr>
          <w:i/>
        </w:rPr>
        <w:t>Late-stage caregiving.</w:t>
      </w:r>
      <w:proofErr w:type="gramEnd"/>
      <w:r>
        <w:rPr>
          <w:i/>
        </w:rPr>
        <w:t xml:space="preserve"> </w:t>
      </w:r>
      <w:r>
        <w:t xml:space="preserve">(2012). Retrieved from Alzheimer’s Association website: </w:t>
      </w:r>
      <w:r w:rsidRPr="003F21F7">
        <w:t>http://www.alz.org/care/alzheimers-late-end-stage-caregiving.asp#function</w:t>
      </w:r>
    </w:p>
    <w:sectPr w:rsidR="003F21F7" w:rsidRPr="003F21F7" w:rsidSect="00B7396A">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Mary" w:date="2012-07-08T13:30:00Z" w:initials="M">
    <w:p w:rsidR="00921502" w:rsidRDefault="00921502">
      <w:pPr>
        <w:pStyle w:val="CommentText"/>
      </w:pPr>
      <w:r>
        <w:rPr>
          <w:rStyle w:val="CommentReference"/>
        </w:rPr>
        <w:annotationRef/>
      </w:r>
      <w:r>
        <w:t xml:space="preserve">All of these ref from </w:t>
      </w:r>
      <w:proofErr w:type="spellStart"/>
      <w:r>
        <w:t>Alzheimers</w:t>
      </w:r>
      <w:proofErr w:type="spellEnd"/>
      <w:r>
        <w:t xml:space="preserve"> Association    should use the </w:t>
      </w:r>
      <w:proofErr w:type="spellStart"/>
      <w:r>
        <w:rPr>
          <w:b/>
        </w:rPr>
        <w:t>A</w:t>
      </w:r>
      <w:r w:rsidRPr="00921502">
        <w:rPr>
          <w:b/>
        </w:rPr>
        <w:t>lzheimers</w:t>
      </w:r>
      <w:proofErr w:type="spellEnd"/>
      <w:r w:rsidRPr="00921502">
        <w:rPr>
          <w:b/>
        </w:rPr>
        <w:t xml:space="preserve"> </w:t>
      </w:r>
      <w:r>
        <w:rPr>
          <w:b/>
        </w:rPr>
        <w:t>O</w:t>
      </w:r>
      <w:r w:rsidRPr="00921502">
        <w:rPr>
          <w:b/>
        </w:rPr>
        <w:t>rganization</w:t>
      </w:r>
      <w:r>
        <w:t xml:space="preserve"> as the author   </w:t>
      </w:r>
    </w:p>
  </w:comment>
  <w:comment w:id="10" w:author="Mary" w:date="2012-07-08T13:26:00Z" w:initials="M">
    <w:p w:rsidR="00921502" w:rsidRDefault="00921502">
      <w:pPr>
        <w:pStyle w:val="CommentText"/>
      </w:pPr>
      <w:r>
        <w:rPr>
          <w:rStyle w:val="CommentReference"/>
        </w:rPr>
        <w:annotationRef/>
      </w:r>
      <w:r>
        <w:t>National Institute of Health is the author</w:t>
      </w:r>
    </w:p>
  </w:comment>
  <w:comment w:id="11" w:author="Mary" w:date="2012-07-08T13:27:00Z" w:initials="M">
    <w:p w:rsidR="00921502" w:rsidRDefault="00921502">
      <w:pPr>
        <w:pStyle w:val="CommentText"/>
      </w:pPr>
      <w:r>
        <w:rPr>
          <w:rStyle w:val="CommentReference"/>
        </w:rPr>
        <w:annotationRef/>
      </w:r>
      <w:r>
        <w:t>Mayo Clinic is your author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D53" w:rsidRDefault="00371D53">
      <w:r>
        <w:separator/>
      </w:r>
    </w:p>
  </w:endnote>
  <w:endnote w:type="continuationSeparator" w:id="0">
    <w:p w:rsidR="00371D53" w:rsidRDefault="00371D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96A" w:rsidRDefault="00B739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96A" w:rsidRDefault="00B739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96A" w:rsidRDefault="00B739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D53" w:rsidRDefault="00371D53">
      <w:r>
        <w:separator/>
      </w:r>
    </w:p>
  </w:footnote>
  <w:footnote w:type="continuationSeparator" w:id="0">
    <w:p w:rsidR="00371D53" w:rsidRDefault="00371D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96A" w:rsidRDefault="00B739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96A" w:rsidRPr="00B7396A" w:rsidRDefault="00B7396A" w:rsidP="00B7396A">
    <w:pPr>
      <w:pStyle w:val="APAPageHeading"/>
    </w:pPr>
    <w:r>
      <w:t>CASE STUDY WEEK 7</w:t>
    </w:r>
    <w:r>
      <w:tab/>
    </w:r>
    <w:r w:rsidR="00B96C59">
      <w:fldChar w:fldCharType="begin"/>
    </w:r>
    <w:r>
      <w:instrText xml:space="preserve"> PAGE  \* MERGEFORMAT </w:instrText>
    </w:r>
    <w:r w:rsidR="00B96C59">
      <w:fldChar w:fldCharType="separate"/>
    </w:r>
    <w:r w:rsidR="00921502">
      <w:rPr>
        <w:noProof/>
      </w:rPr>
      <w:t>3</w:t>
    </w:r>
    <w:r w:rsidR="00B96C59">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96A" w:rsidRPr="00B7396A" w:rsidRDefault="00B7396A" w:rsidP="00B7396A">
    <w:pPr>
      <w:pStyle w:val="APAPageHeading"/>
    </w:pPr>
    <w:r>
      <w:t>Running head: CASE STUDY WEEK 7</w:t>
    </w:r>
    <w:r>
      <w:tab/>
    </w:r>
    <w:r w:rsidR="00B96C59">
      <w:fldChar w:fldCharType="begin"/>
    </w:r>
    <w:r>
      <w:instrText xml:space="preserve"> PAGE  \* MERGEFORMAT </w:instrText>
    </w:r>
    <w:r w:rsidR="00B96C59">
      <w:fldChar w:fldCharType="separate"/>
    </w:r>
    <w:r w:rsidR="00921502">
      <w:rPr>
        <w:noProof/>
      </w:rPr>
      <w:t>1</w:t>
    </w:r>
    <w:r w:rsidR="00B96C59">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96A" w:rsidRPr="00B7396A" w:rsidRDefault="00B7396A" w:rsidP="00B7396A">
    <w:pPr>
      <w:pStyle w:val="APAPageHeading"/>
    </w:pPr>
    <w:r>
      <w:t>CASE STUDY WEEK 7</w:t>
    </w:r>
    <w:r>
      <w:tab/>
    </w:r>
    <w:r w:rsidR="00B96C59">
      <w:fldChar w:fldCharType="begin"/>
    </w:r>
    <w:r>
      <w:instrText xml:space="preserve"> PAGE  \* MERGEFORMAT </w:instrText>
    </w:r>
    <w:r w:rsidR="00B96C59">
      <w:fldChar w:fldCharType="separate"/>
    </w:r>
    <w:r w:rsidR="00921502">
      <w:rPr>
        <w:noProof/>
      </w:rPr>
      <w:t>2</w:t>
    </w:r>
    <w:r w:rsidR="00B96C59">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90B81"/>
    <w:multiLevelType w:val="hybridMultilevel"/>
    <w:tmpl w:val="599AEDA2"/>
    <w:lvl w:ilvl="0" w:tplc="BF8A8B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6F42F6D"/>
    <w:multiLevelType w:val="hybridMultilevel"/>
    <w:tmpl w:val="445E3AE6"/>
    <w:lvl w:ilvl="0" w:tplc="D75C9D62">
      <w:start w:val="1"/>
      <w:numFmt w:val="lowerLetter"/>
      <w:lvlText w:val="%1."/>
      <w:lvlJc w:val="left"/>
      <w:pPr>
        <w:ind w:left="159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2">
    <w:nsid w:val="50E17B43"/>
    <w:multiLevelType w:val="hybridMultilevel"/>
    <w:tmpl w:val="1CE02F6C"/>
    <w:lvl w:ilvl="0" w:tplc="2C6CA0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docVars>
    <w:docVar w:name="bmHeaderInfo" w:val="CASE STUDY WEEK 7"/>
    <w:docVar w:name="cIsAbstract" w:val="False"/>
    <w:docVar w:name="cPaperAPAOrMLA" w:val="1"/>
    <w:docVar w:name="cUniquePaperID" w:val="410916894675926I0"/>
    <w:docVar w:name="LastEditedVersion" w:val="5"/>
  </w:docVars>
  <w:rsids>
    <w:rsidRoot w:val="00B7396A"/>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4C49"/>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982"/>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1D53"/>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3EE"/>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1F7"/>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027D"/>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03AA"/>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5618"/>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1C49"/>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4CA9"/>
    <w:rsid w:val="00875013"/>
    <w:rsid w:val="00875898"/>
    <w:rsid w:val="00875EAA"/>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02"/>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EBA"/>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B6F"/>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75944"/>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563E"/>
    <w:rsid w:val="00B37BEA"/>
    <w:rsid w:val="00B409AC"/>
    <w:rsid w:val="00B41AED"/>
    <w:rsid w:val="00B42FDA"/>
    <w:rsid w:val="00B43520"/>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396A"/>
    <w:rsid w:val="00B74146"/>
    <w:rsid w:val="00B749C8"/>
    <w:rsid w:val="00B76E17"/>
    <w:rsid w:val="00B77BD2"/>
    <w:rsid w:val="00B77E53"/>
    <w:rsid w:val="00B80190"/>
    <w:rsid w:val="00B809A8"/>
    <w:rsid w:val="00B8234A"/>
    <w:rsid w:val="00B826A9"/>
    <w:rsid w:val="00B82830"/>
    <w:rsid w:val="00B82A0A"/>
    <w:rsid w:val="00B82D0E"/>
    <w:rsid w:val="00B8609B"/>
    <w:rsid w:val="00B86B09"/>
    <w:rsid w:val="00B86F27"/>
    <w:rsid w:val="00B95AB8"/>
    <w:rsid w:val="00B969C2"/>
    <w:rsid w:val="00B96B82"/>
    <w:rsid w:val="00B96C59"/>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68"/>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19C1"/>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4AE"/>
    <w:rsid w:val="00E41A7E"/>
    <w:rsid w:val="00E440FB"/>
    <w:rsid w:val="00E46C37"/>
    <w:rsid w:val="00E46D25"/>
    <w:rsid w:val="00E51080"/>
    <w:rsid w:val="00E530D4"/>
    <w:rsid w:val="00E545C1"/>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743"/>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6C5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6C59"/>
    <w:pPr>
      <w:tabs>
        <w:tab w:val="center" w:pos="4320"/>
        <w:tab w:val="right" w:pos="8640"/>
      </w:tabs>
    </w:pPr>
  </w:style>
  <w:style w:type="paragraph" w:customStyle="1" w:styleId="APA">
    <w:name w:val="APA"/>
    <w:basedOn w:val="BodyText"/>
    <w:rsid w:val="00B96C59"/>
    <w:pPr>
      <w:spacing w:after="0" w:line="480" w:lineRule="auto"/>
      <w:ind w:firstLine="720"/>
    </w:pPr>
    <w:rPr>
      <w:sz w:val="24"/>
    </w:rPr>
  </w:style>
  <w:style w:type="paragraph" w:styleId="BodyText">
    <w:name w:val="Body Text"/>
    <w:basedOn w:val="Normal"/>
    <w:rsid w:val="00B96C59"/>
    <w:pPr>
      <w:spacing w:after="120"/>
    </w:pPr>
  </w:style>
  <w:style w:type="paragraph" w:styleId="Footer">
    <w:name w:val="footer"/>
    <w:basedOn w:val="Normal"/>
    <w:rsid w:val="00B96C59"/>
    <w:pPr>
      <w:tabs>
        <w:tab w:val="center" w:pos="4320"/>
        <w:tab w:val="right" w:pos="8640"/>
      </w:tabs>
    </w:pPr>
  </w:style>
  <w:style w:type="character" w:styleId="PageNumber">
    <w:name w:val="page number"/>
    <w:basedOn w:val="DefaultParagraphFont"/>
    <w:rsid w:val="00B96C59"/>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B96C59"/>
    <w:pPr>
      <w:ind w:left="720" w:firstLine="0"/>
    </w:pPr>
  </w:style>
  <w:style w:type="paragraph" w:customStyle="1" w:styleId="APABlockQuoteSubsequentPara">
    <w:name w:val="APA Block Quote Subsequent Para"/>
    <w:basedOn w:val="APA"/>
    <w:next w:val="APA"/>
    <w:rsid w:val="00B96C59"/>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B96C59"/>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B96C59"/>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Hyperlink">
    <w:name w:val="Hyperlink"/>
    <w:rsid w:val="00875EAA"/>
    <w:rPr>
      <w:color w:val="0000FF"/>
      <w:u w:val="single"/>
    </w:rPr>
  </w:style>
  <w:style w:type="character" w:styleId="CommentReference">
    <w:name w:val="annotation reference"/>
    <w:basedOn w:val="DefaultParagraphFont"/>
    <w:rsid w:val="00921502"/>
    <w:rPr>
      <w:sz w:val="16"/>
      <w:szCs w:val="16"/>
    </w:rPr>
  </w:style>
  <w:style w:type="paragraph" w:styleId="CommentText">
    <w:name w:val="annotation text"/>
    <w:basedOn w:val="Normal"/>
    <w:link w:val="CommentTextChar"/>
    <w:rsid w:val="00921502"/>
  </w:style>
  <w:style w:type="character" w:customStyle="1" w:styleId="CommentTextChar">
    <w:name w:val="Comment Text Char"/>
    <w:basedOn w:val="DefaultParagraphFont"/>
    <w:link w:val="CommentText"/>
    <w:rsid w:val="00921502"/>
  </w:style>
  <w:style w:type="paragraph" w:styleId="CommentSubject">
    <w:name w:val="annotation subject"/>
    <w:basedOn w:val="CommentText"/>
    <w:next w:val="CommentText"/>
    <w:link w:val="CommentSubjectChar"/>
    <w:rsid w:val="00921502"/>
    <w:rPr>
      <w:b/>
      <w:bCs/>
    </w:rPr>
  </w:style>
  <w:style w:type="character" w:customStyle="1" w:styleId="CommentSubjectChar">
    <w:name w:val="Comment Subject Char"/>
    <w:basedOn w:val="CommentTextChar"/>
    <w:link w:val="CommentSubject"/>
    <w:rsid w:val="00921502"/>
    <w:rPr>
      <w:b/>
      <w:bCs/>
    </w:rPr>
  </w:style>
  <w:style w:type="paragraph" w:styleId="BalloonText">
    <w:name w:val="Balloon Text"/>
    <w:basedOn w:val="Normal"/>
    <w:link w:val="BalloonTextChar"/>
    <w:rsid w:val="00921502"/>
    <w:rPr>
      <w:rFonts w:ascii="Tahoma" w:hAnsi="Tahoma" w:cs="Tahoma"/>
      <w:sz w:val="16"/>
      <w:szCs w:val="16"/>
    </w:rPr>
  </w:style>
  <w:style w:type="character" w:customStyle="1" w:styleId="BalloonTextChar">
    <w:name w:val="Balloon Text Char"/>
    <w:basedOn w:val="DefaultParagraphFont"/>
    <w:link w:val="BalloonText"/>
    <w:rsid w:val="009215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mments" Target="commen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mayoclinic.com/health/dementia/DS01131"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ncbi.nlm.nih.gov/pubmedhealth/PMH00017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9</TotalTime>
  <Pages>10</Pages>
  <Words>2019</Words>
  <Characters>11512</Characters>
  <Application>Microsoft Office Word</Application>
  <DocSecurity>4</DocSecurity>
  <Lines>95</Lines>
  <Paragraphs>27</Paragraphs>
  <ScaleCrop>false</ScaleCrop>
  <HeadingPairs>
    <vt:vector size="2" baseType="variant">
      <vt:variant>
        <vt:lpstr>Title</vt:lpstr>
      </vt:variant>
      <vt:variant>
        <vt:i4>1</vt:i4>
      </vt:variant>
    </vt:vector>
  </HeadingPairs>
  <TitlesOfParts>
    <vt:vector size="1" baseType="lpstr">
      <vt:lpstr>Case Study Week 7</vt:lpstr>
    </vt:vector>
  </TitlesOfParts>
  <Company>Toshiba</Company>
  <LinksUpToDate>false</LinksUpToDate>
  <CharactersWithSpaces>13504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Week 7</dc:title>
  <dc:subject>Copyright</dc:subject>
  <dc:creator>Joanna Kaufman</dc:creator>
  <cp:lastModifiedBy>Mary</cp:lastModifiedBy>
  <cp:revision>2</cp:revision>
  <dcterms:created xsi:type="dcterms:W3CDTF">2012-07-08T18:31:00Z</dcterms:created>
  <dcterms:modified xsi:type="dcterms:W3CDTF">2012-07-08T18:31:00Z</dcterms:modified>
</cp:coreProperties>
</file>