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0D273E">
      <w:pPr>
        <w:pStyle w:val="APA"/>
      </w:pPr>
    </w:p>
    <w:p w:rsidR="000D273E" w:rsidRDefault="000D273E" w:rsidP="000D273E">
      <w:pPr>
        <w:pStyle w:val="APA"/>
      </w:pPr>
    </w:p>
    <w:p w:rsidR="000D273E" w:rsidRPr="001164EF" w:rsidRDefault="001164EF" w:rsidP="000D273E">
      <w:pPr>
        <w:pStyle w:val="APA"/>
        <w:rPr>
          <w:color w:val="FF0000"/>
        </w:rPr>
      </w:pPr>
      <w:r w:rsidRPr="001164EF">
        <w:rPr>
          <w:color w:val="FF0000"/>
        </w:rPr>
        <w:t>23/25</w:t>
      </w:r>
    </w:p>
    <w:p w:rsidR="000D273E" w:rsidRDefault="000D273E" w:rsidP="000D273E">
      <w:pPr>
        <w:pStyle w:val="APA"/>
      </w:pPr>
    </w:p>
    <w:p w:rsidR="000D273E" w:rsidRDefault="000D273E" w:rsidP="000D273E">
      <w:pPr>
        <w:pStyle w:val="APA"/>
      </w:pPr>
    </w:p>
    <w:p w:rsidR="000D273E" w:rsidRDefault="000D273E" w:rsidP="000D273E">
      <w:pPr>
        <w:pStyle w:val="APA"/>
      </w:pPr>
    </w:p>
    <w:p w:rsidR="000D273E" w:rsidRDefault="000D273E" w:rsidP="000D273E">
      <w:pPr>
        <w:pStyle w:val="APA"/>
      </w:pPr>
    </w:p>
    <w:p w:rsidR="000D273E" w:rsidRDefault="000D273E" w:rsidP="000D273E">
      <w:pPr>
        <w:pStyle w:val="APAHeadingCenter"/>
      </w:pPr>
      <w:bookmarkStart w:id="0" w:name="bmTitlePageTitle"/>
      <w:r>
        <w:t>Case Study 9.2 &amp; 9.3</w:t>
      </w:r>
      <w:bookmarkEnd w:id="0"/>
    </w:p>
    <w:p w:rsidR="000D273E" w:rsidRDefault="000D273E" w:rsidP="000D273E">
      <w:pPr>
        <w:pStyle w:val="APAHeadingCenter"/>
      </w:pPr>
      <w:bookmarkStart w:id="1" w:name="bmTitlePageName"/>
      <w:r>
        <w:t>Joanna Kaufman</w:t>
      </w:r>
      <w:bookmarkEnd w:id="1"/>
    </w:p>
    <w:p w:rsidR="00E62FC0" w:rsidRDefault="000D273E" w:rsidP="00E62FC0">
      <w:pPr>
        <w:pStyle w:val="APAHeadingCenter"/>
      </w:pPr>
      <w:bookmarkStart w:id="2" w:name="bmTitlePageInst"/>
      <w:r>
        <w:t>Lakeview College of Nursing</w:t>
      </w:r>
      <w:bookmarkStart w:id="3" w:name="bmTitleAdd1"/>
      <w:bookmarkStart w:id="4" w:name="bmTitleAdd2"/>
      <w:bookmarkStart w:id="5" w:name="bmTitleAdd3"/>
      <w:bookmarkStart w:id="6" w:name="bmTitleAdd4"/>
      <w:bookmarkEnd w:id="2"/>
      <w:bookmarkEnd w:id="3"/>
      <w:bookmarkEnd w:id="4"/>
      <w:bookmarkEnd w:id="5"/>
    </w:p>
    <w:p w:rsidR="000D273E" w:rsidRDefault="000D273E" w:rsidP="00E62FC0">
      <w:pPr>
        <w:pStyle w:val="APAHeadingCenter"/>
      </w:pPr>
      <w:r>
        <w:t>June 16, 2012</w:t>
      </w:r>
      <w:bookmarkEnd w:id="6"/>
    </w:p>
    <w:p w:rsidR="000D273E" w:rsidRDefault="000D273E" w:rsidP="000D273E">
      <w:pPr>
        <w:pStyle w:val="APA"/>
        <w:sectPr w:rsidR="000D273E" w:rsidSect="000D27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0D273E" w:rsidRDefault="000D273E" w:rsidP="000D273E">
      <w:pPr>
        <w:pStyle w:val="APA"/>
        <w:sectPr w:rsidR="000D273E" w:rsidSect="000D273E">
          <w:headerReference w:type="first" r:id="rId13"/>
          <w:type w:val="continuous"/>
          <w:pgSz w:w="12240" w:h="15840" w:code="1"/>
          <w:pgMar w:top="1440" w:right="1440" w:bottom="1440" w:left="1440" w:header="720" w:footer="720" w:gutter="0"/>
          <w:cols w:space="720"/>
          <w:titlePg/>
          <w:docGrid w:linePitch="360"/>
        </w:sectPr>
      </w:pPr>
    </w:p>
    <w:p w:rsidR="000D273E" w:rsidRDefault="000D273E" w:rsidP="000D273E">
      <w:pPr>
        <w:pStyle w:val="APAHeadingCenter"/>
      </w:pPr>
      <w:bookmarkStart w:id="7" w:name="bmFirstPageTitle"/>
      <w:r>
        <w:lastRenderedPageBreak/>
        <w:t>Case Study 9.2 &amp; 9.3</w:t>
      </w:r>
      <w:bookmarkEnd w:id="7"/>
    </w:p>
    <w:p w:rsidR="00FF4F7B" w:rsidRPr="00FF4F7B" w:rsidRDefault="00FF4F7B" w:rsidP="00FF4F7B">
      <w:pPr>
        <w:pStyle w:val="APA"/>
      </w:pPr>
      <w:r>
        <w:t>Case Study 9.2</w:t>
      </w:r>
    </w:p>
    <w:p w:rsidR="000D273E" w:rsidRDefault="00E62FC0" w:rsidP="00E62FC0">
      <w:pPr>
        <w:pStyle w:val="APA"/>
        <w:numPr>
          <w:ilvl w:val="0"/>
          <w:numId w:val="1"/>
        </w:numPr>
      </w:pPr>
      <w:r>
        <w:t>At this point, which of the following medications should Pearl receive in a timely manner? Select all that apply</w:t>
      </w:r>
      <w:r w:rsidR="0050406D">
        <w:t xml:space="preserve"> (highlighted ones)</w:t>
      </w:r>
    </w:p>
    <w:p w:rsidR="00E62FC0" w:rsidRPr="0050406D" w:rsidRDefault="00E62FC0" w:rsidP="00E62FC0">
      <w:pPr>
        <w:pStyle w:val="APA"/>
        <w:numPr>
          <w:ilvl w:val="1"/>
          <w:numId w:val="1"/>
        </w:numPr>
        <w:rPr>
          <w:highlight w:val="yellow"/>
        </w:rPr>
      </w:pPr>
      <w:r w:rsidRPr="0050406D">
        <w:rPr>
          <w:highlight w:val="yellow"/>
        </w:rPr>
        <w:t>KCL in her IV fluids</w:t>
      </w:r>
      <w:r w:rsidR="0050406D" w:rsidRPr="0050406D">
        <w:rPr>
          <w:highlight w:val="yellow"/>
        </w:rPr>
        <w:t xml:space="preserve"> </w:t>
      </w:r>
    </w:p>
    <w:p w:rsidR="00E62FC0" w:rsidRPr="0050406D" w:rsidRDefault="00E62FC0" w:rsidP="00E62FC0">
      <w:pPr>
        <w:pStyle w:val="APA"/>
        <w:numPr>
          <w:ilvl w:val="1"/>
          <w:numId w:val="1"/>
        </w:numPr>
        <w:rPr>
          <w:highlight w:val="yellow"/>
        </w:rPr>
      </w:pPr>
      <w:proofErr w:type="spellStart"/>
      <w:r w:rsidRPr="0050406D">
        <w:rPr>
          <w:highlight w:val="yellow"/>
        </w:rPr>
        <w:t>Cefazolin</w:t>
      </w:r>
      <w:proofErr w:type="spellEnd"/>
      <w:r w:rsidRPr="0050406D">
        <w:rPr>
          <w:highlight w:val="yellow"/>
        </w:rPr>
        <w:t xml:space="preserve"> (</w:t>
      </w:r>
      <w:proofErr w:type="spellStart"/>
      <w:r w:rsidRPr="0050406D">
        <w:rPr>
          <w:highlight w:val="yellow"/>
        </w:rPr>
        <w:t>Kefzol</w:t>
      </w:r>
      <w:proofErr w:type="spellEnd"/>
      <w:r w:rsidRPr="0050406D">
        <w:rPr>
          <w:highlight w:val="yellow"/>
        </w:rPr>
        <w:t>) IV</w:t>
      </w:r>
    </w:p>
    <w:p w:rsidR="00BA5F8F" w:rsidRPr="00BA5F8F" w:rsidRDefault="00E62FC0" w:rsidP="00BA5F8F">
      <w:pPr>
        <w:overflowPunct/>
        <w:textAlignment w:val="auto"/>
        <w:rPr>
          <w:rFonts w:ascii="ITCGaramondStd-Bk" w:hAnsi="ITCGaramondStd-Bk" w:cs="ITCGaramondStd-Bk"/>
          <w:color w:val="FF0000"/>
        </w:rPr>
      </w:pPr>
      <w:r w:rsidRPr="0050406D">
        <w:rPr>
          <w:highlight w:val="yellow"/>
        </w:rPr>
        <w:t>Coumadin (</w:t>
      </w:r>
      <w:proofErr w:type="spellStart"/>
      <w:r w:rsidRPr="0050406D">
        <w:rPr>
          <w:highlight w:val="yellow"/>
        </w:rPr>
        <w:t>warfarin</w:t>
      </w:r>
      <w:proofErr w:type="spellEnd"/>
      <w:r w:rsidRPr="0050406D">
        <w:rPr>
          <w:highlight w:val="yellow"/>
        </w:rPr>
        <w:t>)</w:t>
      </w:r>
      <w:r w:rsidR="00BA5F8F">
        <w:rPr>
          <w:highlight w:val="yellow"/>
        </w:rPr>
        <w:t xml:space="preserve">   </w:t>
      </w:r>
      <w:r w:rsidR="00BA5F8F" w:rsidRPr="00BA5F8F">
        <w:rPr>
          <w:rFonts w:ascii="ITCGaramondStd-Bk" w:hAnsi="ITCGaramondStd-Bk" w:cs="ITCGaramondStd-Bk"/>
          <w:color w:val="FF0000"/>
        </w:rPr>
        <w:t>Coumadin (</w:t>
      </w:r>
      <w:proofErr w:type="spellStart"/>
      <w:r w:rsidR="00BA5F8F" w:rsidRPr="00BA5F8F">
        <w:rPr>
          <w:rFonts w:ascii="ITCGaramondStd-Bk" w:hAnsi="ITCGaramondStd-Bk" w:cs="ITCGaramondStd-Bk"/>
          <w:color w:val="FF0000"/>
        </w:rPr>
        <w:t>warfarin</w:t>
      </w:r>
      <w:proofErr w:type="spellEnd"/>
      <w:r w:rsidR="00BA5F8F" w:rsidRPr="00BA5F8F">
        <w:rPr>
          <w:rFonts w:ascii="ITCGaramondStd-Bk" w:hAnsi="ITCGaramondStd-Bk" w:cs="ITCGaramondStd-Bk"/>
          <w:color w:val="FF0000"/>
        </w:rPr>
        <w:t>) would not be wise due to the decreased red blood count, hemoglobin, and</w:t>
      </w:r>
    </w:p>
    <w:p w:rsidR="00E62FC0" w:rsidRPr="0050406D" w:rsidRDefault="00BA5F8F" w:rsidP="00BA5F8F">
      <w:pPr>
        <w:pStyle w:val="APA"/>
        <w:numPr>
          <w:ilvl w:val="0"/>
          <w:numId w:val="3"/>
        </w:numPr>
        <w:rPr>
          <w:highlight w:val="yellow"/>
        </w:rPr>
      </w:pPr>
      <w:proofErr w:type="spellStart"/>
      <w:proofErr w:type="gramStart"/>
      <w:r>
        <w:rPr>
          <w:rFonts w:ascii="ITCGaramondStd-Bk" w:hAnsi="ITCGaramondStd-Bk" w:cs="ITCGaramondStd-Bk"/>
        </w:rPr>
        <w:t>hematocrit</w:t>
      </w:r>
      <w:proofErr w:type="spellEnd"/>
      <w:proofErr w:type="gramEnd"/>
      <w:r>
        <w:rPr>
          <w:rFonts w:ascii="ITCGaramondStd-Bk" w:hAnsi="ITCGaramondStd-Bk" w:cs="ITCGaramondStd-Bk"/>
        </w:rPr>
        <w:t>, indicating potential blood loss from the injury or continued bleeding.</w:t>
      </w:r>
    </w:p>
    <w:p w:rsidR="00E62FC0" w:rsidRPr="0050406D" w:rsidRDefault="00E62FC0" w:rsidP="00BA5F8F">
      <w:pPr>
        <w:pStyle w:val="APA"/>
        <w:numPr>
          <w:ilvl w:val="0"/>
          <w:numId w:val="3"/>
        </w:numPr>
        <w:rPr>
          <w:highlight w:val="yellow"/>
        </w:rPr>
      </w:pPr>
      <w:r w:rsidRPr="0050406D">
        <w:rPr>
          <w:highlight w:val="yellow"/>
        </w:rPr>
        <w:t>Morphine Sulfate IV</w:t>
      </w:r>
    </w:p>
    <w:p w:rsidR="00E62FC0" w:rsidRPr="0050406D" w:rsidRDefault="00E62FC0" w:rsidP="00BA5F8F">
      <w:pPr>
        <w:pStyle w:val="APA"/>
        <w:numPr>
          <w:ilvl w:val="0"/>
          <w:numId w:val="3"/>
        </w:numPr>
        <w:rPr>
          <w:highlight w:val="yellow"/>
        </w:rPr>
      </w:pPr>
      <w:r w:rsidRPr="0050406D">
        <w:rPr>
          <w:highlight w:val="yellow"/>
        </w:rPr>
        <w:t>Regular insulin subcutaneous</w:t>
      </w:r>
    </w:p>
    <w:p w:rsidR="0050406D" w:rsidRDefault="00E62FC0" w:rsidP="0050406D">
      <w:pPr>
        <w:pStyle w:val="APA"/>
        <w:numPr>
          <w:ilvl w:val="0"/>
          <w:numId w:val="1"/>
        </w:numPr>
      </w:pPr>
      <w:r>
        <w:t>How common are hip fractures in the elderly</w:t>
      </w:r>
      <w:r w:rsidR="0050406D">
        <w:t>?</w:t>
      </w:r>
    </w:p>
    <w:p w:rsidR="0050406D" w:rsidRPr="00BA5F8F" w:rsidRDefault="0050406D" w:rsidP="00BA5F8F">
      <w:pPr>
        <w:overflowPunct/>
        <w:textAlignment w:val="auto"/>
        <w:rPr>
          <w:rFonts w:ascii="ITCGaramondStd-Bk" w:hAnsi="ITCGaramondStd-Bk" w:cs="ITCGaramondStd-Bk"/>
          <w:color w:val="FF0000"/>
        </w:rPr>
      </w:pPr>
      <w:r>
        <w:t>Hip fractures are quite common in the elderly due to osteoporosis and normal deterior</w:t>
      </w:r>
      <w:r w:rsidR="001C0328">
        <w:t>ation of the bones with aging. For this same reason, i</w:t>
      </w:r>
      <w:r>
        <w:t>t takes much less force for an elderly person to get a bone fracture</w:t>
      </w:r>
      <w:r w:rsidR="001C0328">
        <w:t xml:space="preserve"> than it does for a younger person (</w:t>
      </w:r>
      <w:proofErr w:type="spellStart"/>
      <w:r w:rsidR="001C0328">
        <w:t>Mauk</w:t>
      </w:r>
      <w:proofErr w:type="spellEnd"/>
      <w:r w:rsidR="001C0328">
        <w:t>, 2010).</w:t>
      </w:r>
      <w:r w:rsidR="00BA5F8F">
        <w:t xml:space="preserve">  </w:t>
      </w:r>
      <w:proofErr w:type="gramStart"/>
      <w:r w:rsidR="00BA5F8F" w:rsidRPr="00BA5F8F">
        <w:rPr>
          <w:rFonts w:ascii="ITCGaramondStd-Bk" w:hAnsi="ITCGaramondStd-Bk" w:cs="ITCGaramondStd-Bk"/>
          <w:color w:val="FF0000"/>
        </w:rPr>
        <w:t>more</w:t>
      </w:r>
      <w:proofErr w:type="gramEnd"/>
      <w:r w:rsidR="00BA5F8F" w:rsidRPr="00BA5F8F">
        <w:rPr>
          <w:rFonts w:ascii="ITCGaramondStd-Bk" w:hAnsi="ITCGaramondStd-Bk" w:cs="ITCGaramondStd-Bk"/>
          <w:color w:val="FF0000"/>
        </w:rPr>
        <w:t xml:space="preserve"> than 340,000 hospitalizations occur annually in persons 65 years or older</w:t>
      </w:r>
    </w:p>
    <w:p w:rsidR="00BA5F8F" w:rsidRDefault="00BA5F8F" w:rsidP="00BA5F8F">
      <w:pPr>
        <w:pStyle w:val="APA"/>
        <w:ind w:left="1080" w:firstLine="0"/>
      </w:pPr>
    </w:p>
    <w:p w:rsidR="00265ED5" w:rsidRDefault="00265ED5" w:rsidP="00BA5F8F">
      <w:pPr>
        <w:pStyle w:val="APA"/>
        <w:ind w:left="1080" w:firstLine="0"/>
      </w:pPr>
    </w:p>
    <w:p w:rsidR="00E62FC0" w:rsidRDefault="00E62FC0" w:rsidP="00E62FC0">
      <w:pPr>
        <w:pStyle w:val="APA"/>
        <w:numPr>
          <w:ilvl w:val="0"/>
          <w:numId w:val="1"/>
        </w:numPr>
      </w:pPr>
      <w:r>
        <w:t>What age-related physiological changes increase the incidence?</w:t>
      </w:r>
    </w:p>
    <w:p w:rsidR="001C0328" w:rsidRDefault="001C0328" w:rsidP="001C0328">
      <w:pPr>
        <w:pStyle w:val="APA"/>
        <w:ind w:left="1080" w:firstLine="0"/>
      </w:pPr>
      <w:r>
        <w:t>As stated above, osteoporosis increases an older adult’s chances for a hip fracture. Even if osteoporosis is not present, there is still some natural deterioration of bone</w:t>
      </w:r>
      <w:r w:rsidR="00E53B41">
        <w:t xml:space="preserve"> mass which can also contribute to the cause of a hip fracture (</w:t>
      </w:r>
      <w:proofErr w:type="spellStart"/>
      <w:r w:rsidR="00E53B41">
        <w:t>Mauk</w:t>
      </w:r>
      <w:proofErr w:type="spellEnd"/>
      <w:r w:rsidR="00E53B41">
        <w:t>, 2010).</w:t>
      </w:r>
    </w:p>
    <w:p w:rsidR="00265ED5" w:rsidRPr="00265ED5" w:rsidRDefault="00265ED5" w:rsidP="00265ED5">
      <w:pPr>
        <w:overflowPunct/>
        <w:textAlignment w:val="auto"/>
        <w:rPr>
          <w:rFonts w:ascii="ITCGaramondStd-Bk" w:hAnsi="ITCGaramondStd-Bk" w:cs="ITCGaramondStd-Bk"/>
          <w:color w:val="FF0000"/>
        </w:rPr>
      </w:pPr>
      <w:r>
        <w:t xml:space="preserve"> </w:t>
      </w:r>
      <w:r w:rsidRPr="00265ED5">
        <w:rPr>
          <w:rFonts w:ascii="ITCGaramondStd-Bk" w:hAnsi="ITCGaramondStd-Bk" w:cs="ITCGaramondStd-Bk"/>
          <w:color w:val="FF0000"/>
        </w:rPr>
        <w:t xml:space="preserve">Visual changes contributing to falls (e.g., missing the last step) includes </w:t>
      </w:r>
      <w:proofErr w:type="spellStart"/>
      <w:r w:rsidRPr="00265ED5">
        <w:rPr>
          <w:rFonts w:ascii="ITCGaramondStd-Bk" w:hAnsi="ITCGaramondStd-Bk" w:cs="ITCGaramondStd-Bk"/>
          <w:color w:val="FF0000"/>
        </w:rPr>
        <w:t>presbyopia</w:t>
      </w:r>
      <w:proofErr w:type="spellEnd"/>
      <w:r w:rsidRPr="00265ED5">
        <w:rPr>
          <w:rFonts w:ascii="ITCGaramondStd-Bk" w:hAnsi="ITCGaramondStd-Bk" w:cs="ITCGaramondStd-Bk"/>
          <w:color w:val="FF0000"/>
        </w:rPr>
        <w:t xml:space="preserve"> and presence of cataract(s). Other age-related changes include impaired ability to react to a loss of balance, maintain an upright stance when stumbling, and gait weakness. For women in particular, osteoporosis contributes to the ease of bone fracture along with </w:t>
      </w:r>
      <w:proofErr w:type="spellStart"/>
      <w:r w:rsidRPr="00265ED5">
        <w:rPr>
          <w:rFonts w:ascii="ITCGaramondStd-Bk" w:hAnsi="ITCGaramondStd-Bk" w:cs="ITCGaramondStd-Bk"/>
          <w:color w:val="FF0000"/>
        </w:rPr>
        <w:t>comorbidities</w:t>
      </w:r>
      <w:proofErr w:type="spellEnd"/>
      <w:r w:rsidRPr="00265ED5">
        <w:rPr>
          <w:rFonts w:ascii="ITCGaramondStd-Bk" w:hAnsi="ITCGaramondStd-Bk" w:cs="ITCGaramondStd-Bk"/>
          <w:color w:val="FF0000"/>
        </w:rPr>
        <w:t xml:space="preserve"> such as postural hypotension, dizziness/vertigo, and confusion</w:t>
      </w:r>
    </w:p>
    <w:p w:rsidR="00265ED5" w:rsidRPr="00265ED5" w:rsidRDefault="00265ED5" w:rsidP="00265ED5">
      <w:pPr>
        <w:overflowPunct/>
        <w:textAlignment w:val="auto"/>
        <w:rPr>
          <w:color w:val="FF0000"/>
        </w:rPr>
      </w:pPr>
    </w:p>
    <w:p w:rsidR="00E62FC0" w:rsidRDefault="00E62FC0" w:rsidP="00E62FC0">
      <w:pPr>
        <w:pStyle w:val="APA"/>
        <w:numPr>
          <w:ilvl w:val="0"/>
          <w:numId w:val="1"/>
        </w:numPr>
      </w:pPr>
      <w:r>
        <w:t>What risk factors contribute to hip fractures?</w:t>
      </w:r>
    </w:p>
    <w:p w:rsidR="00E53B41" w:rsidRDefault="00E53B41" w:rsidP="00E53B41">
      <w:pPr>
        <w:pStyle w:val="APA"/>
        <w:ind w:left="1080" w:firstLine="0"/>
      </w:pPr>
      <w:r>
        <w:lastRenderedPageBreak/>
        <w:t>Some risk factors contributing to hip fractures include age, gender, medication, poor nutrition, tobacco or alcohol use, chronic medical conditions, and physical inactivity. The elderly are at a greater risk because as you age your bone density and mass decreases (Mayo Clinic, 2012). Women are at greater risk than men because they lose bone density quicker than men do. Poor nutrition and exercise are risk factors because if a person does not take in enough calcium and vitamin D the bone mass and density decreases. As for exercise, weight-bearing exercises actually help strengthen the bone, so lack of exercise adds to the risk of getting a hip fracture (Mayo Clinic, 2012).</w:t>
      </w:r>
    </w:p>
    <w:p w:rsidR="00265ED5" w:rsidRDefault="00A31A4B" w:rsidP="00265ED5">
      <w:pPr>
        <w:overflowPunct/>
        <w:textAlignment w:val="auto"/>
        <w:rPr>
          <w:rFonts w:ascii="ITCGaramondStd-Bk" w:hAnsi="ITCGaramondStd-Bk" w:cs="ITCGaramondStd-Bk"/>
          <w:color w:val="FF0000"/>
        </w:rPr>
      </w:pPr>
      <w:r w:rsidRPr="00A31A4B">
        <w:rPr>
          <w:rFonts w:ascii="ITCGaramondStd-Bk" w:hAnsi="ITCGaramondStd-Bk" w:cs="ITCGaramondStd-Bk"/>
          <w:color w:val="FF0000"/>
        </w:rPr>
        <w:t xml:space="preserve">Also: </w:t>
      </w:r>
      <w:r w:rsidR="00265ED5" w:rsidRPr="00A31A4B">
        <w:rPr>
          <w:rFonts w:ascii="ITCGaramondStd-Bk" w:hAnsi="ITCGaramondStd-Bk" w:cs="ITCGaramondStd-Bk"/>
          <w:color w:val="FF0000"/>
        </w:rPr>
        <w:t>Low body weight</w:t>
      </w:r>
      <w:r w:rsidRPr="00A31A4B">
        <w:rPr>
          <w:rFonts w:ascii="ITCGaramondStd-Bk" w:hAnsi="ITCGaramondStd-Bk" w:cs="ITCGaramondStd-Bk"/>
          <w:color w:val="FF0000"/>
        </w:rPr>
        <w:t xml:space="preserve"> </w:t>
      </w:r>
      <w:r w:rsidR="00265ED5" w:rsidRPr="00A31A4B">
        <w:rPr>
          <w:rFonts w:ascii="ITCGaramondStd-Bk" w:hAnsi="ITCGaramondStd-Bk" w:cs="ITCGaramondStd-Bk"/>
          <w:color w:val="FF0000"/>
        </w:rPr>
        <w:t xml:space="preserve">• Impaired vision • Prolonged corticosteroid use • Use of medications that decrease bone mass, </w:t>
      </w:r>
      <w:proofErr w:type="gramStart"/>
      <w:r w:rsidR="00265ED5" w:rsidRPr="00A31A4B">
        <w:rPr>
          <w:rFonts w:ascii="ITCGaramondStd-Bk" w:hAnsi="ITCGaramondStd-Bk" w:cs="ITCGaramondStd-Bk"/>
          <w:color w:val="FF0000"/>
        </w:rPr>
        <w:t xml:space="preserve">including  </w:t>
      </w:r>
      <w:proofErr w:type="spellStart"/>
      <w:r w:rsidR="00265ED5" w:rsidRPr="00A31A4B">
        <w:rPr>
          <w:rFonts w:ascii="ITCGaramondStd-Bk" w:hAnsi="ITCGaramondStd-Bk" w:cs="ITCGaramondStd-Bk"/>
          <w:color w:val="FF0000"/>
        </w:rPr>
        <w:t>furosemide</w:t>
      </w:r>
      <w:proofErr w:type="spellEnd"/>
      <w:proofErr w:type="gramEnd"/>
      <w:r w:rsidR="00265ED5" w:rsidRPr="00A31A4B">
        <w:rPr>
          <w:rFonts w:ascii="ITCGaramondStd-Bk" w:hAnsi="ITCGaramondStd-Bk" w:cs="ITCGaramondStd-Bk"/>
          <w:color w:val="FF0000"/>
        </w:rPr>
        <w:t xml:space="preserve">, thyroid hormone, </w:t>
      </w:r>
      <w:proofErr w:type="spellStart"/>
      <w:r w:rsidR="00265ED5" w:rsidRPr="00A31A4B">
        <w:rPr>
          <w:rFonts w:ascii="ITCGaramondStd-Bk" w:hAnsi="ITCGaramondStd-Bk" w:cs="ITCGaramondStd-Bk"/>
          <w:color w:val="FF0000"/>
        </w:rPr>
        <w:t>phenobarbital</w:t>
      </w:r>
      <w:proofErr w:type="spellEnd"/>
      <w:r w:rsidR="00265ED5" w:rsidRPr="00A31A4B">
        <w:rPr>
          <w:rFonts w:ascii="ITCGaramondStd-Bk" w:hAnsi="ITCGaramondStd-Bk" w:cs="ITCGaramondStd-Bk"/>
          <w:color w:val="FF0000"/>
        </w:rPr>
        <w:t xml:space="preserve">, and </w:t>
      </w:r>
      <w:proofErr w:type="spellStart"/>
      <w:r w:rsidR="00265ED5" w:rsidRPr="00A31A4B">
        <w:rPr>
          <w:rFonts w:ascii="ITCGaramondStd-Bk" w:hAnsi="ITCGaramondStd-Bk" w:cs="ITCGaramondStd-Bk"/>
          <w:color w:val="FF0000"/>
        </w:rPr>
        <w:t>phenytoin</w:t>
      </w:r>
      <w:proofErr w:type="spellEnd"/>
      <w:r w:rsidR="00265ED5" w:rsidRPr="00A31A4B">
        <w:rPr>
          <w:rFonts w:ascii="ITCGaramondStd-Bk" w:hAnsi="ITCGaramondStd-Bk" w:cs="ITCGaramondStd-Bk"/>
          <w:color w:val="FF0000"/>
        </w:rPr>
        <w:t>, Osteoporosis (leading cause of hip fracture)</w:t>
      </w:r>
      <w:r w:rsidRPr="00A31A4B">
        <w:rPr>
          <w:rFonts w:ascii="ITCGaramondStd-Bk" w:hAnsi="ITCGaramondStd-Bk" w:cs="ITCGaramondStd-Bk"/>
          <w:color w:val="FF0000"/>
        </w:rPr>
        <w:t xml:space="preserve"> </w:t>
      </w:r>
      <w:r w:rsidR="00265ED5" w:rsidRPr="00A31A4B">
        <w:rPr>
          <w:rFonts w:ascii="ITCGaramondStd-Bk" w:hAnsi="ITCGaramondStd-Bk" w:cs="ITCGaramondStd-Bk"/>
          <w:color w:val="FF0000"/>
        </w:rPr>
        <w:t>• Neurological impairment, • Caucasian race • institutional living</w:t>
      </w:r>
      <w:r w:rsidRPr="00A31A4B">
        <w:rPr>
          <w:rFonts w:ascii="ITCGaramondStd-Bk" w:hAnsi="ITCGaramondStd-Bk" w:cs="ITCGaramondStd-Bk"/>
          <w:color w:val="FF0000"/>
        </w:rPr>
        <w:t xml:space="preserve">, </w:t>
      </w:r>
      <w:r w:rsidR="00265ED5" w:rsidRPr="00A31A4B">
        <w:rPr>
          <w:rFonts w:ascii="ITCGaramondStd-Bk" w:hAnsi="ITCGaramondStd-Bk" w:cs="ITCGaramondStd-Bk"/>
          <w:color w:val="FF0000"/>
        </w:rPr>
        <w:t>• Maternal history of hip fracture</w:t>
      </w:r>
      <w:r w:rsidRPr="00A31A4B">
        <w:rPr>
          <w:rFonts w:ascii="ITCGaramondStd-Bk" w:hAnsi="ITCGaramondStd-Bk" w:cs="ITCGaramondStd-Bk"/>
          <w:color w:val="FF0000"/>
        </w:rPr>
        <w:t>, Tall stature</w:t>
      </w:r>
    </w:p>
    <w:p w:rsidR="00641648" w:rsidRPr="00A31A4B" w:rsidRDefault="00641648" w:rsidP="00265ED5">
      <w:pPr>
        <w:overflowPunct/>
        <w:textAlignment w:val="auto"/>
        <w:rPr>
          <w:rFonts w:ascii="ITCGaramondStd-Bk" w:hAnsi="ITCGaramondStd-Bk" w:cs="ITCGaramondStd-Bk"/>
          <w:color w:val="FF0000"/>
        </w:rPr>
      </w:pPr>
      <w:bookmarkStart w:id="8" w:name="_GoBack"/>
      <w:bookmarkEnd w:id="8"/>
    </w:p>
    <w:p w:rsidR="00265ED5" w:rsidRDefault="00265ED5" w:rsidP="00265ED5">
      <w:pPr>
        <w:overflowPunct/>
        <w:textAlignment w:val="auto"/>
      </w:pPr>
    </w:p>
    <w:p w:rsidR="00E62FC0" w:rsidRDefault="00E62FC0" w:rsidP="00E62FC0">
      <w:pPr>
        <w:pStyle w:val="APA"/>
        <w:numPr>
          <w:ilvl w:val="0"/>
          <w:numId w:val="1"/>
        </w:numPr>
      </w:pPr>
      <w:r w:rsidRPr="00670B99">
        <w:t>A canvas immobilizer was applied to Pearl’s right leg to decrease movement. What has evidence-based practice found in regard to applying preoperative traction (e.g., Buck’s) for immobilization and reducing pain for a hip fracture?</w:t>
      </w:r>
      <w:r w:rsidR="00670B99">
        <w:t xml:space="preserve"> </w:t>
      </w:r>
    </w:p>
    <w:p w:rsidR="0058738D" w:rsidRPr="00AC6D50" w:rsidRDefault="0058738D" w:rsidP="0058738D">
      <w:pPr>
        <w:pStyle w:val="APA"/>
        <w:ind w:left="1080" w:firstLine="0"/>
        <w:rPr>
          <w:color w:val="FF0000"/>
        </w:rPr>
      </w:pPr>
      <w:r>
        <w:t xml:space="preserve">Evidence-based practice has shown that applying preoperative traction has little to no benefit. One study, according to Beaupre, Jones, Saunders, Johnston, </w:t>
      </w:r>
      <w:proofErr w:type="spellStart"/>
      <w:r>
        <w:t>Buckinham</w:t>
      </w:r>
      <w:proofErr w:type="spellEnd"/>
      <w:r>
        <w:t xml:space="preserve">, &amp; </w:t>
      </w:r>
      <w:proofErr w:type="spellStart"/>
      <w:r>
        <w:t>Majumdar</w:t>
      </w:r>
      <w:proofErr w:type="spellEnd"/>
      <w:r>
        <w:t>, showed that the use of preoperative traction actually increased with the use of analgesics and did not reduce the fracture (Beaupre et al., 2005).</w:t>
      </w:r>
      <w:r w:rsidR="00AC6D50">
        <w:t xml:space="preserve"> </w:t>
      </w:r>
      <w:r w:rsidR="00AC6D50">
        <w:rPr>
          <w:color w:val="FF0000"/>
        </w:rPr>
        <w:t xml:space="preserve">So, if the evidence shows very little evidence do they still use Buck’s </w:t>
      </w:r>
      <w:proofErr w:type="gramStart"/>
      <w:r w:rsidR="00AC6D50">
        <w:rPr>
          <w:color w:val="FF0000"/>
        </w:rPr>
        <w:t>traction.</w:t>
      </w:r>
      <w:proofErr w:type="gramEnd"/>
      <w:r w:rsidR="00AC6D50">
        <w:rPr>
          <w:color w:val="FF0000"/>
        </w:rPr>
        <w:t xml:space="preserve">  </w:t>
      </w:r>
    </w:p>
    <w:p w:rsidR="00132D9C" w:rsidRDefault="00132D9C" w:rsidP="00132D9C">
      <w:pPr>
        <w:pStyle w:val="APA"/>
        <w:ind w:left="1080" w:firstLine="0"/>
      </w:pPr>
    </w:p>
    <w:p w:rsidR="00E62FC0" w:rsidRDefault="00E62FC0" w:rsidP="00E62FC0">
      <w:pPr>
        <w:pStyle w:val="APA"/>
        <w:numPr>
          <w:ilvl w:val="0"/>
          <w:numId w:val="1"/>
        </w:numPr>
      </w:pPr>
      <w:r>
        <w:t>What specific interventions are used with the patient to prevent these complications?</w:t>
      </w:r>
    </w:p>
    <w:p w:rsidR="002C5B1D" w:rsidRDefault="002C5B1D" w:rsidP="002C5B1D">
      <w:pPr>
        <w:pStyle w:val="ListParagraph"/>
      </w:pPr>
    </w:p>
    <w:p w:rsidR="00AC6D50" w:rsidRDefault="002C5B1D" w:rsidP="002C5B1D">
      <w:pPr>
        <w:pStyle w:val="APA"/>
        <w:ind w:left="1080" w:firstLine="0"/>
      </w:pPr>
      <w:r>
        <w:t xml:space="preserve">To prevent </w:t>
      </w:r>
      <w:proofErr w:type="spellStart"/>
      <w:r>
        <w:t>atelectasis</w:t>
      </w:r>
      <w:proofErr w:type="spellEnd"/>
      <w:r>
        <w:t xml:space="preserve"> the nurse should get Pearl to do some deep breathing exercises approximately every 2 hours</w:t>
      </w:r>
      <w:r w:rsidR="00DD611B">
        <w:t xml:space="preserve"> (Allina Health, 2007)</w:t>
      </w:r>
      <w:r>
        <w:t>.</w:t>
      </w:r>
      <w:r w:rsidR="00AC6D50">
        <w:t xml:space="preserve">  </w:t>
      </w:r>
    </w:p>
    <w:p w:rsidR="00AC6D50" w:rsidRPr="00AC6D50" w:rsidRDefault="00AC6D50" w:rsidP="00AC6D50">
      <w:pPr>
        <w:overflowPunct/>
        <w:textAlignment w:val="auto"/>
        <w:rPr>
          <w:rFonts w:ascii="ITCGaramondStd-Bk" w:hAnsi="ITCGaramondStd-Bk" w:cs="ITCGaramondStd-Bk"/>
          <w:color w:val="FF0000"/>
        </w:rPr>
      </w:pPr>
      <w:r>
        <w:lastRenderedPageBreak/>
        <w:t xml:space="preserve">  </w:t>
      </w:r>
      <w:proofErr w:type="gramStart"/>
      <w:r w:rsidRPr="00AC6D50">
        <w:rPr>
          <w:rFonts w:ascii="ITCGaramondStd-Bk" w:hAnsi="ITCGaramondStd-Bk" w:cs="ITCGaramondStd-Bk"/>
          <w:color w:val="FF0000"/>
        </w:rPr>
        <w:t>use</w:t>
      </w:r>
      <w:proofErr w:type="gramEnd"/>
      <w:r w:rsidRPr="00AC6D50">
        <w:rPr>
          <w:rFonts w:ascii="ITCGaramondStd-Bk" w:hAnsi="ITCGaramondStd-Bk" w:cs="ITCGaramondStd-Bk"/>
          <w:color w:val="FF0000"/>
        </w:rPr>
        <w:t xml:space="preserve"> of incentive </w:t>
      </w:r>
      <w:proofErr w:type="spellStart"/>
      <w:r w:rsidRPr="00AC6D50">
        <w:rPr>
          <w:rFonts w:ascii="ITCGaramondStd-Bk" w:hAnsi="ITCGaramondStd-Bk" w:cs="ITCGaramondStd-Bk"/>
          <w:color w:val="FF0000"/>
        </w:rPr>
        <w:t>spirometry</w:t>
      </w:r>
      <w:proofErr w:type="spellEnd"/>
      <w:r w:rsidRPr="00AC6D50">
        <w:rPr>
          <w:rFonts w:ascii="ITCGaramondStd-Bk" w:hAnsi="ITCGaramondStd-Bk" w:cs="ITCGaramondStd-Bk"/>
          <w:color w:val="FF0000"/>
        </w:rPr>
        <w:t xml:space="preserve"> every hour while awake, coughing and change of position every 2 hours.</w:t>
      </w:r>
    </w:p>
    <w:p w:rsidR="00AC6D50" w:rsidRDefault="00AC6D50" w:rsidP="00AC6D50">
      <w:pPr>
        <w:overflowPunct/>
        <w:textAlignment w:val="auto"/>
      </w:pPr>
    </w:p>
    <w:p w:rsidR="002C5B1D" w:rsidRDefault="002C5B1D" w:rsidP="002C5B1D">
      <w:pPr>
        <w:pStyle w:val="APA"/>
        <w:ind w:left="1080" w:firstLine="0"/>
      </w:pPr>
      <w:r>
        <w:t xml:space="preserve"> To prevent skin breakdown the nurse should make sure to do skin assessments regularly on Pearl and make sure she is not in the same position for an extended amount of hours</w:t>
      </w:r>
      <w:r w:rsidR="00AC6D50">
        <w:t xml:space="preserve"> </w:t>
      </w:r>
      <w:r w:rsidR="00AC6D50">
        <w:rPr>
          <w:color w:val="FF0000"/>
        </w:rPr>
        <w:t>also important to keep skin clean &amp; dry.</w:t>
      </w:r>
      <w:r w:rsidR="00AC6D50">
        <w:t xml:space="preserve"> </w:t>
      </w:r>
      <w:r>
        <w:t>. To preven</w:t>
      </w:r>
      <w:r w:rsidR="00DD611B">
        <w:t>t deep vein thrombosis, compression stockings are probably prescribed to keep the blood flowing while Pearl is laid up in bed (</w:t>
      </w:r>
      <w:proofErr w:type="spellStart"/>
      <w:r w:rsidR="00DD611B">
        <w:t>Wexner</w:t>
      </w:r>
      <w:proofErr w:type="spellEnd"/>
      <w:r w:rsidR="00DD611B">
        <w:t xml:space="preserve"> Medical Center, 2012). </w:t>
      </w:r>
      <w:r w:rsidR="00AC6D50">
        <w:t xml:space="preserve">  </w:t>
      </w:r>
    </w:p>
    <w:p w:rsidR="00AC6D50" w:rsidRPr="00AC6D50" w:rsidRDefault="00AC6D50" w:rsidP="00AC6D50">
      <w:pPr>
        <w:overflowPunct/>
        <w:textAlignment w:val="auto"/>
        <w:rPr>
          <w:rFonts w:ascii="ITCGaramondStd-Bk" w:hAnsi="ITCGaramondStd-Bk" w:cs="ITCGaramondStd-Bk"/>
          <w:color w:val="FF0000"/>
        </w:rPr>
      </w:pPr>
      <w:r w:rsidRPr="00AC6D50">
        <w:rPr>
          <w:color w:val="FF0000"/>
        </w:rPr>
        <w:t xml:space="preserve">Also to keep from getting DVT’s try </w:t>
      </w:r>
      <w:r w:rsidRPr="00AC6D50">
        <w:rPr>
          <w:rFonts w:ascii="ITCGaramondStd-Bk" w:hAnsi="ITCGaramondStd-Bk" w:cs="ITCGaramondStd-Bk"/>
          <w:color w:val="FF0000"/>
        </w:rPr>
        <w:t xml:space="preserve">getting out of bed as tolerated, low molecular weight Heparin such as </w:t>
      </w:r>
      <w:proofErr w:type="spellStart"/>
      <w:r w:rsidRPr="00AC6D50">
        <w:rPr>
          <w:rFonts w:ascii="ITCGaramondStd-Bk" w:hAnsi="ITCGaramondStd-Bk" w:cs="ITCGaramondStd-Bk"/>
          <w:color w:val="FF0000"/>
        </w:rPr>
        <w:t>Lovenox</w:t>
      </w:r>
      <w:proofErr w:type="spellEnd"/>
      <w:r w:rsidRPr="00AC6D50">
        <w:rPr>
          <w:rFonts w:ascii="ITCGaramondStd-Bk" w:hAnsi="ITCGaramondStd-Bk" w:cs="ITCGaramondStd-Bk"/>
          <w:color w:val="FF0000"/>
        </w:rPr>
        <w:t xml:space="preserve"> (</w:t>
      </w:r>
      <w:proofErr w:type="spellStart"/>
      <w:r w:rsidRPr="00AC6D50">
        <w:rPr>
          <w:rFonts w:ascii="ITCGaramondStd-Bk" w:hAnsi="ITCGaramondStd-Bk" w:cs="ITCGaramondStd-Bk"/>
          <w:color w:val="FF0000"/>
        </w:rPr>
        <w:t>enoxaparin</w:t>
      </w:r>
      <w:proofErr w:type="spellEnd"/>
      <w:r w:rsidRPr="00AC6D50">
        <w:rPr>
          <w:rFonts w:ascii="ITCGaramondStd-Bk" w:hAnsi="ITCGaramondStd-Bk" w:cs="ITCGaramondStd-Bk"/>
          <w:color w:val="FF0000"/>
        </w:rPr>
        <w:t>) and Coumadin (</w:t>
      </w:r>
      <w:proofErr w:type="spellStart"/>
      <w:r w:rsidRPr="00AC6D50">
        <w:rPr>
          <w:rFonts w:ascii="ITCGaramondStd-Bk" w:hAnsi="ITCGaramondStd-Bk" w:cs="ITCGaramondStd-Bk"/>
          <w:color w:val="FF0000"/>
        </w:rPr>
        <w:t>warfarin</w:t>
      </w:r>
      <w:proofErr w:type="spellEnd"/>
      <w:r w:rsidRPr="00AC6D50">
        <w:rPr>
          <w:rFonts w:ascii="ITCGaramondStd-Bk" w:hAnsi="ITCGaramondStd-Bk" w:cs="ITCGaramondStd-Bk"/>
          <w:color w:val="FF0000"/>
        </w:rPr>
        <w:t>).</w:t>
      </w:r>
    </w:p>
    <w:p w:rsidR="00AC6D50" w:rsidRDefault="00AC6D50" w:rsidP="00AC6D50">
      <w:pPr>
        <w:overflowPunct/>
        <w:textAlignment w:val="auto"/>
      </w:pPr>
    </w:p>
    <w:p w:rsidR="00E62FC0" w:rsidRDefault="00E62FC0" w:rsidP="00E62FC0">
      <w:pPr>
        <w:pStyle w:val="APA"/>
        <w:numPr>
          <w:ilvl w:val="0"/>
          <w:numId w:val="1"/>
        </w:numPr>
      </w:pPr>
      <w:r w:rsidRPr="00FF22F5">
        <w:t>Another important focus is avoidance of abduction of the affected hip to prevent dislocation. What measures can be used?</w:t>
      </w:r>
    </w:p>
    <w:p w:rsidR="00FF22F5" w:rsidRDefault="00FF22F5" w:rsidP="00FF22F5">
      <w:pPr>
        <w:pStyle w:val="APA"/>
        <w:ind w:left="1080" w:firstLine="0"/>
      </w:pPr>
      <w:r>
        <w:t>Try not to let your knee of the effected side go past your belly button, do not ever cross your feet at the ankles, and don’t turn the foot of the effected leg inward (</w:t>
      </w:r>
      <w:proofErr w:type="spellStart"/>
      <w:r>
        <w:t>Wexner</w:t>
      </w:r>
      <w:proofErr w:type="spellEnd"/>
      <w:r>
        <w:t xml:space="preserve"> Medical Center, 2012).</w:t>
      </w:r>
      <w:r w:rsidR="00AC6D50">
        <w:t xml:space="preserve">  </w:t>
      </w:r>
    </w:p>
    <w:p w:rsidR="00AC6D50" w:rsidRPr="00AC6D50" w:rsidRDefault="00AC6D50" w:rsidP="00AC6D50">
      <w:pPr>
        <w:overflowPunct/>
        <w:textAlignment w:val="auto"/>
        <w:rPr>
          <w:rFonts w:ascii="ITCGaramondStd-Bk" w:hAnsi="ITCGaramondStd-Bk" w:cs="ITCGaramondStd-Bk"/>
          <w:color w:val="FF0000"/>
        </w:rPr>
      </w:pPr>
      <w:r>
        <w:t xml:space="preserve"> </w:t>
      </w:r>
      <w:r w:rsidRPr="00AC6D50">
        <w:rPr>
          <w:rFonts w:ascii="ITCGaramondStd-Bk" w:hAnsi="ITCGaramondStd-Bk" w:cs="ITCGaramondStd-Bk"/>
          <w:color w:val="FF0000"/>
        </w:rPr>
        <w:t xml:space="preserve">Use of an abductor pillow while in bed, teaching the patient not to cross their legs or bend over </w:t>
      </w:r>
    </w:p>
    <w:p w:rsidR="00AC6D50" w:rsidRPr="00FF22F5" w:rsidRDefault="00AC6D50" w:rsidP="00AC6D50">
      <w:pPr>
        <w:overflowPunct/>
        <w:textAlignment w:val="auto"/>
      </w:pPr>
    </w:p>
    <w:p w:rsidR="00E62FC0" w:rsidRDefault="00E62FC0" w:rsidP="00E62FC0">
      <w:pPr>
        <w:pStyle w:val="APA"/>
        <w:numPr>
          <w:ilvl w:val="0"/>
          <w:numId w:val="1"/>
        </w:numPr>
      </w:pPr>
      <w:r>
        <w:t>What problem is the nurse assessing for at this point?</w:t>
      </w:r>
    </w:p>
    <w:p w:rsidR="002C5B1D" w:rsidRPr="00AC6D50" w:rsidRDefault="002C5B1D" w:rsidP="002C5B1D">
      <w:pPr>
        <w:pStyle w:val="APA"/>
        <w:ind w:left="1080" w:firstLine="0"/>
        <w:rPr>
          <w:color w:val="FF0000"/>
        </w:rPr>
      </w:pPr>
      <w:r>
        <w:t>The nurse is assessing for alcoholism because this can cause hallucinations</w:t>
      </w:r>
      <w:r w:rsidRPr="00AC6D50">
        <w:rPr>
          <w:color w:val="FF0000"/>
        </w:rPr>
        <w:t xml:space="preserve">. </w:t>
      </w:r>
      <w:r w:rsidR="00AC6D50" w:rsidRPr="00AC6D50">
        <w:rPr>
          <w:color w:val="FF0000"/>
        </w:rPr>
        <w:t xml:space="preserve"> Cite source</w:t>
      </w:r>
    </w:p>
    <w:p w:rsidR="00E62FC0" w:rsidRDefault="00E62FC0" w:rsidP="00E62FC0">
      <w:pPr>
        <w:pStyle w:val="APA"/>
        <w:numPr>
          <w:ilvl w:val="0"/>
          <w:numId w:val="1"/>
        </w:numPr>
      </w:pPr>
      <w:r>
        <w:t>For individuals who are able to return home following a hip replacement, what modifications, including equipment, is recommended</w:t>
      </w:r>
      <w:r w:rsidR="00FF4F7B">
        <w:t xml:space="preserve"> for a safe recovery? </w:t>
      </w:r>
    </w:p>
    <w:p w:rsidR="002C5B1D" w:rsidRDefault="00132D9C" w:rsidP="002C5B1D">
      <w:pPr>
        <w:pStyle w:val="APA"/>
        <w:ind w:left="1080" w:firstLine="0"/>
      </w:pPr>
      <w:r>
        <w:t>They should use a walker to assist them in getting around so they are not putting their full weight on their new hip</w:t>
      </w:r>
      <w:r w:rsidR="002C5B1D">
        <w:t xml:space="preserve"> (</w:t>
      </w:r>
      <w:proofErr w:type="spellStart"/>
      <w:r w:rsidR="002C5B1D">
        <w:t>Wexner</w:t>
      </w:r>
      <w:proofErr w:type="spellEnd"/>
      <w:r w:rsidR="002C5B1D">
        <w:t xml:space="preserve"> Medical Center, 2012). They should also use a “</w:t>
      </w:r>
      <w:proofErr w:type="spellStart"/>
      <w:r w:rsidR="002C5B1D">
        <w:t>reacher</w:t>
      </w:r>
      <w:proofErr w:type="spellEnd"/>
      <w:r w:rsidR="002C5B1D">
        <w:t>” tool to grab items one would normally lean over for</w:t>
      </w:r>
      <w:r>
        <w:t>.</w:t>
      </w:r>
      <w:r w:rsidR="002C5B1D">
        <w:t xml:space="preserve"> This ensures the recovering patient is not bending the hip past 90 degrees or twisting at the hip (</w:t>
      </w:r>
      <w:proofErr w:type="spellStart"/>
      <w:r w:rsidR="002C5B1D">
        <w:t>Wexner</w:t>
      </w:r>
      <w:proofErr w:type="spellEnd"/>
      <w:r w:rsidR="002C5B1D">
        <w:t xml:space="preserve"> Medical Center, 2012).</w:t>
      </w:r>
    </w:p>
    <w:p w:rsidR="00F77FF7" w:rsidRPr="00F77FF7" w:rsidRDefault="00F77FF7" w:rsidP="00F77FF7">
      <w:pPr>
        <w:overflowPunct/>
        <w:textAlignment w:val="auto"/>
        <w:rPr>
          <w:rFonts w:ascii="ITCGaramondStd-Bk" w:hAnsi="ITCGaramondStd-Bk" w:cs="ITCGaramondStd-Bk"/>
          <w:color w:val="FF0000"/>
        </w:rPr>
      </w:pPr>
      <w:r w:rsidRPr="00F77FF7">
        <w:rPr>
          <w:color w:val="FF0000"/>
        </w:rPr>
        <w:t xml:space="preserve"> </w:t>
      </w:r>
      <w:r w:rsidRPr="00F77FF7">
        <w:rPr>
          <w:rFonts w:ascii="ITCGaramondStd-Bk" w:hAnsi="ITCGaramondStd-Bk" w:cs="ITCGaramondStd-Bk"/>
          <w:color w:val="FF0000"/>
        </w:rPr>
        <w:t>Securely fastened safety bars or handrails in your shower or bath • Secure handrails along all stairways</w:t>
      </w:r>
    </w:p>
    <w:p w:rsidR="00F77FF7" w:rsidRPr="00F77FF7" w:rsidRDefault="00F77FF7" w:rsidP="00F77FF7">
      <w:pPr>
        <w:overflowPunct/>
        <w:textAlignment w:val="auto"/>
        <w:rPr>
          <w:rFonts w:ascii="ITCGaramondStd-Bk" w:hAnsi="ITCGaramondStd-Bk" w:cs="ITCGaramondStd-Bk"/>
          <w:color w:val="FF0000"/>
        </w:rPr>
      </w:pPr>
      <w:r w:rsidRPr="00F77FF7">
        <w:rPr>
          <w:rFonts w:ascii="ITCGaramondStd-Bk" w:hAnsi="ITCGaramondStd-Bk" w:cs="ITCGaramondStd-Bk"/>
          <w:color w:val="FF0000"/>
        </w:rPr>
        <w:lastRenderedPageBreak/>
        <w:t>• A stable chair for with a firm seat cushion (that allows the knees to remain lower than the hips), a firm back, and two arms • A raised toilet seat • A stable shower bench or chair for bathing • A long-handled sponge and shower hose • A dressing stick, a sock aid, and a long-handled shoe horn for putting on and taking off shoes and socks without excessively bending the affected hip • A “</w:t>
      </w:r>
      <w:proofErr w:type="spellStart"/>
      <w:r w:rsidRPr="00F77FF7">
        <w:rPr>
          <w:rFonts w:ascii="ITCGaramondStd-Bk" w:hAnsi="ITCGaramondStd-Bk" w:cs="ITCGaramondStd-Bk"/>
          <w:color w:val="FF0000"/>
        </w:rPr>
        <w:t>reacher</w:t>
      </w:r>
      <w:proofErr w:type="spellEnd"/>
      <w:r w:rsidRPr="00F77FF7">
        <w:rPr>
          <w:rFonts w:ascii="ITCGaramondStd-Bk" w:hAnsi="ITCGaramondStd-Bk" w:cs="ITCGaramondStd-Bk"/>
          <w:color w:val="FF0000"/>
        </w:rPr>
        <w:t>” that allows grabbing objects without excessive bending of the hips • Removal of all loose carpets and electrical cords from the areas where walking in the home.</w:t>
      </w:r>
    </w:p>
    <w:p w:rsidR="00F77FF7" w:rsidRPr="00F77FF7" w:rsidRDefault="00F77FF7" w:rsidP="00F77FF7">
      <w:pPr>
        <w:overflowPunct/>
        <w:textAlignment w:val="auto"/>
        <w:rPr>
          <w:color w:val="FF0000"/>
        </w:rPr>
      </w:pPr>
    </w:p>
    <w:p w:rsidR="00132D9C" w:rsidRDefault="00FF4F7B" w:rsidP="002C5B1D">
      <w:pPr>
        <w:pStyle w:val="APA"/>
        <w:numPr>
          <w:ilvl w:val="0"/>
          <w:numId w:val="1"/>
        </w:numPr>
      </w:pPr>
      <w:r>
        <w:t>What is the morbidity rate associated with fractured hip?</w:t>
      </w:r>
    </w:p>
    <w:p w:rsidR="00FF4F7B" w:rsidRDefault="00132D9C" w:rsidP="00132D9C">
      <w:pPr>
        <w:pStyle w:val="APA"/>
        <w:ind w:left="1080" w:firstLine="0"/>
      </w:pPr>
      <w:r>
        <w:t>The morbidity rate associated with a fractured hip has increased from 24 percent in the 1980s to 29 percent currently (</w:t>
      </w:r>
      <w:proofErr w:type="spellStart"/>
      <w:r>
        <w:t>Dembner</w:t>
      </w:r>
      <w:proofErr w:type="spellEnd"/>
      <w:r>
        <w:t>, 2006). It was reported in The Boston Globe that this is usually due to a fractured hip leading to a series of events in an elderly person’s life which often leads to death (</w:t>
      </w:r>
      <w:proofErr w:type="spellStart"/>
      <w:r>
        <w:t>Dembner</w:t>
      </w:r>
      <w:proofErr w:type="spellEnd"/>
      <w:r>
        <w:t>, 2006).</w:t>
      </w:r>
    </w:p>
    <w:p w:rsidR="00FF22F5" w:rsidRPr="00F77FF7" w:rsidRDefault="00F77FF7" w:rsidP="00F77FF7">
      <w:pPr>
        <w:overflowPunct/>
        <w:textAlignment w:val="auto"/>
        <w:rPr>
          <w:color w:val="FF0000"/>
        </w:rPr>
      </w:pPr>
      <w:r>
        <w:t xml:space="preserve"> </w:t>
      </w:r>
    </w:p>
    <w:p w:rsidR="00FF4F7B" w:rsidRDefault="00FF4F7B" w:rsidP="00FF4F7B">
      <w:pPr>
        <w:pStyle w:val="APA"/>
      </w:pPr>
      <w:r>
        <w:t>Case Study 9.3</w:t>
      </w:r>
    </w:p>
    <w:p w:rsidR="00FF4F7B" w:rsidRDefault="00FF4F7B" w:rsidP="00FF4F7B">
      <w:pPr>
        <w:pStyle w:val="APA"/>
        <w:numPr>
          <w:ilvl w:val="0"/>
          <w:numId w:val="2"/>
        </w:numPr>
      </w:pPr>
      <w:r>
        <w:t>Name some costs associated with falling.</w:t>
      </w:r>
    </w:p>
    <w:p w:rsidR="00FF22F5" w:rsidRDefault="00FF22F5" w:rsidP="00FF22F5">
      <w:pPr>
        <w:pStyle w:val="APA"/>
        <w:ind w:left="1080" w:firstLine="0"/>
      </w:pPr>
      <w:r>
        <w:t>Some cost associated with falling include hospital and nursing home care fees, doctors or other professional services, rehabilitation, medical equipment, medications, changes made to a home, insurance processing, and community-based services (Centers For Disease Control and Prevention, 2011).</w:t>
      </w:r>
    </w:p>
    <w:p w:rsidR="00F77FF7" w:rsidRDefault="00F77FF7" w:rsidP="00F77FF7">
      <w:pPr>
        <w:overflowPunct/>
        <w:textAlignment w:val="auto"/>
        <w:rPr>
          <w:rFonts w:ascii="ITCGaramondStd-Bk" w:hAnsi="ITCGaramondStd-Bk" w:cs="ITCGaramondStd-Bk"/>
          <w:color w:val="FF0000"/>
        </w:rPr>
      </w:pPr>
      <w:r>
        <w:t xml:space="preserve"> </w:t>
      </w:r>
      <w:r w:rsidRPr="00F77FF7">
        <w:rPr>
          <w:rFonts w:ascii="ITCGaramondStd-Bk" w:hAnsi="ITCGaramondStd-Bk" w:cs="ITCGaramondStd-Bk"/>
          <w:color w:val="FF0000"/>
        </w:rPr>
        <w:t>Costs of falls may include: injuries that rank high in common insurance claims and result in acute care medical costs associated with fractures; increased physical and emotional stress and decreased quality of life; and just the fear of falling</w:t>
      </w:r>
      <w:r>
        <w:rPr>
          <w:rFonts w:ascii="ITCGaramondStd-Bk" w:hAnsi="ITCGaramondStd-Bk" w:cs="ITCGaramondStd-Bk"/>
          <w:color w:val="FF0000"/>
        </w:rPr>
        <w:t xml:space="preserve"> </w:t>
      </w:r>
      <w:r>
        <w:rPr>
          <w:rFonts w:ascii="ITCGaramondStd-Bk" w:hAnsi="ITCGaramondStd-Bk" w:cs="ITCGaramondStd-Bk"/>
        </w:rPr>
        <w:t>(</w:t>
      </w:r>
      <w:r w:rsidRPr="00F77FF7">
        <w:rPr>
          <w:rFonts w:ascii="ITCGaramondStd-Bk" w:hAnsi="ITCGaramondStd-Bk" w:cs="ITCGaramondStd-Bk"/>
          <w:color w:val="FF0000"/>
        </w:rPr>
        <w:t>without actual fall) affects physical, emotional, and social functioning</w:t>
      </w:r>
    </w:p>
    <w:p w:rsidR="00F77FF7" w:rsidRPr="00F77FF7" w:rsidRDefault="00F77FF7" w:rsidP="00F77FF7">
      <w:pPr>
        <w:overflowPunct/>
        <w:textAlignment w:val="auto"/>
        <w:rPr>
          <w:color w:val="FF0000"/>
        </w:rPr>
      </w:pPr>
    </w:p>
    <w:p w:rsidR="00FF4F7B" w:rsidRDefault="00FF4F7B" w:rsidP="00FF4F7B">
      <w:pPr>
        <w:pStyle w:val="APA"/>
        <w:numPr>
          <w:ilvl w:val="0"/>
          <w:numId w:val="2"/>
        </w:numPr>
      </w:pPr>
      <w:r>
        <w:t>What can be suggested as a first step for Susan in helping her mother prevent home falls?</w:t>
      </w:r>
    </w:p>
    <w:p w:rsidR="00F51DDD" w:rsidRDefault="00F51DDD" w:rsidP="00F51DDD">
      <w:pPr>
        <w:pStyle w:val="APA"/>
        <w:ind w:left="1080" w:firstLine="0"/>
      </w:pPr>
      <w:r>
        <w:t>Susan should help ensure her mother is using non-skid wax to clean her floors if doing so and that coffee tables, magazine racks, or plant stands are out of the way in high-traffic areas. She should also be sure there are no loose floor boards or carpeting and that clothing, dishes, and food are stored within comfortable reach (Mayo Clinic, 2012).</w:t>
      </w:r>
    </w:p>
    <w:p w:rsidR="00F77FF7" w:rsidRPr="00F77FF7" w:rsidRDefault="00F77FF7" w:rsidP="00F77FF7">
      <w:pPr>
        <w:overflowPunct/>
        <w:textAlignment w:val="auto"/>
        <w:rPr>
          <w:rFonts w:ascii="ITCGaramondStd-Bk" w:hAnsi="ITCGaramondStd-Bk" w:cs="ITCGaramondStd-Bk"/>
          <w:color w:val="FF0000"/>
        </w:rPr>
      </w:pPr>
      <w:r w:rsidRPr="00F77FF7">
        <w:rPr>
          <w:color w:val="FF0000"/>
        </w:rPr>
        <w:t xml:space="preserve"> </w:t>
      </w:r>
      <w:r w:rsidRPr="00F77FF7">
        <w:rPr>
          <w:rFonts w:ascii="ITCGaramondStd-Bk" w:hAnsi="ITCGaramondStd-Bk" w:cs="ITCGaramondStd-Bk"/>
          <w:color w:val="FF0000"/>
        </w:rPr>
        <w:t xml:space="preserve">Contact a service-provider in the community for a falls prevention home assessment (Diebold et al., 2010; Krieger-Blake, 2010; Pugh, </w:t>
      </w:r>
      <w:proofErr w:type="spellStart"/>
      <w:r w:rsidRPr="00F77FF7">
        <w:rPr>
          <w:rFonts w:ascii="ITCGaramondStd-Bk" w:hAnsi="ITCGaramondStd-Bk" w:cs="ITCGaramondStd-Bk"/>
          <w:color w:val="FF0000"/>
        </w:rPr>
        <w:t>Yetzer</w:t>
      </w:r>
      <w:proofErr w:type="spellEnd"/>
      <w:r w:rsidRPr="00F77FF7">
        <w:rPr>
          <w:rFonts w:ascii="ITCGaramondStd-Bk" w:hAnsi="ITCGaramondStd-Bk" w:cs="ITCGaramondStd-Bk"/>
          <w:color w:val="FF0000"/>
        </w:rPr>
        <w:t xml:space="preserve">, &amp; </w:t>
      </w:r>
      <w:proofErr w:type="spellStart"/>
      <w:r w:rsidRPr="00F77FF7">
        <w:rPr>
          <w:rFonts w:ascii="ITCGaramondStd-Bk" w:hAnsi="ITCGaramondStd-Bk" w:cs="ITCGaramondStd-Bk"/>
          <w:color w:val="FF0000"/>
        </w:rPr>
        <w:t>Naden</w:t>
      </w:r>
      <w:proofErr w:type="spellEnd"/>
      <w:r w:rsidRPr="00F77FF7">
        <w:rPr>
          <w:rFonts w:ascii="ITCGaramondStd-Bk" w:hAnsi="ITCGaramondStd-Bk" w:cs="ITCGaramondStd-Bk"/>
          <w:color w:val="FF0000"/>
        </w:rPr>
        <w:t xml:space="preserve">-Blucher, 2007; </w:t>
      </w:r>
      <w:proofErr w:type="spellStart"/>
      <w:r w:rsidRPr="00F77FF7">
        <w:rPr>
          <w:rFonts w:ascii="ITCGaramondStd-Bk" w:hAnsi="ITCGaramondStd-Bk" w:cs="ITCGaramondStd-Bk"/>
          <w:color w:val="FF0000"/>
        </w:rPr>
        <w:t>Radwanski</w:t>
      </w:r>
      <w:proofErr w:type="spellEnd"/>
      <w:r w:rsidRPr="00F77FF7">
        <w:rPr>
          <w:rFonts w:ascii="ITCGaramondStd-Bk" w:hAnsi="ITCGaramondStd-Bk" w:cs="ITCGaramondStd-Bk"/>
          <w:color w:val="FF0000"/>
        </w:rPr>
        <w:t xml:space="preserve">, 2008) or search the Internet for a home safety </w:t>
      </w:r>
      <w:r w:rsidRPr="00F77FF7">
        <w:rPr>
          <w:rFonts w:ascii="ITCGaramondStd-Bk" w:hAnsi="ITCGaramondStd-Bk" w:cs="ITCGaramondStd-Bk"/>
          <w:color w:val="FF0000"/>
        </w:rPr>
        <w:lastRenderedPageBreak/>
        <w:t xml:space="preserve">checklist and use it to evaluate the home setting. Two Checklist examples to prevent falls in the home can be found at the following Web sites: American College of Emergency Physicians at http://www.acep.org/workarea/downloadasset.aspx?id=8716 and the North Carolina Cooperative Extension Service at http://www.ces.ncsu.edu/ </w:t>
      </w:r>
      <w:proofErr w:type="spellStart"/>
      <w:r w:rsidRPr="00F77FF7">
        <w:rPr>
          <w:rFonts w:ascii="ITCGaramondStd-Bk" w:hAnsi="ITCGaramondStd-Bk" w:cs="ITCGaramondStd-Bk"/>
          <w:color w:val="FF0000"/>
        </w:rPr>
        <w:t>depts</w:t>
      </w:r>
      <w:proofErr w:type="spellEnd"/>
      <w:r w:rsidRPr="00F77FF7">
        <w:rPr>
          <w:rFonts w:ascii="ITCGaramondStd-Bk" w:hAnsi="ITCGaramondStd-Bk" w:cs="ITCGaramondStd-Bk"/>
          <w:color w:val="FF0000"/>
        </w:rPr>
        <w:t>/</w:t>
      </w:r>
      <w:proofErr w:type="spellStart"/>
      <w:r w:rsidRPr="00F77FF7">
        <w:rPr>
          <w:rFonts w:ascii="ITCGaramondStd-Bk" w:hAnsi="ITCGaramondStd-Bk" w:cs="ITCGaramondStd-Bk"/>
          <w:color w:val="FF0000"/>
        </w:rPr>
        <w:t>fcs</w:t>
      </w:r>
      <w:proofErr w:type="spellEnd"/>
      <w:r w:rsidRPr="00F77FF7">
        <w:rPr>
          <w:rFonts w:ascii="ITCGaramondStd-Bk" w:hAnsi="ITCGaramondStd-Bk" w:cs="ITCGaramondStd-Bk"/>
          <w:color w:val="FF0000"/>
        </w:rPr>
        <w:t>/</w:t>
      </w:r>
      <w:proofErr w:type="spellStart"/>
      <w:r w:rsidRPr="00F77FF7">
        <w:rPr>
          <w:rFonts w:ascii="ITCGaramondStd-Bk" w:hAnsi="ITCGaramondStd-Bk" w:cs="ITCGaramondStd-Bk"/>
          <w:color w:val="FF0000"/>
        </w:rPr>
        <w:t>pdfs</w:t>
      </w:r>
      <w:proofErr w:type="spellEnd"/>
      <w:r w:rsidRPr="00F77FF7">
        <w:rPr>
          <w:rFonts w:ascii="ITCGaramondStd-Bk" w:hAnsi="ITCGaramondStd-Bk" w:cs="ITCGaramondStd-Bk"/>
          <w:color w:val="FF0000"/>
        </w:rPr>
        <w:t>/FCS-461.pdf.</w:t>
      </w:r>
    </w:p>
    <w:p w:rsidR="00F77FF7" w:rsidRDefault="00F77FF7" w:rsidP="00F77FF7">
      <w:pPr>
        <w:overflowPunct/>
        <w:textAlignment w:val="auto"/>
      </w:pPr>
    </w:p>
    <w:p w:rsidR="00FF4F7B" w:rsidRDefault="00FF4F7B" w:rsidP="00FF4F7B">
      <w:pPr>
        <w:pStyle w:val="APA"/>
        <w:numPr>
          <w:ilvl w:val="0"/>
          <w:numId w:val="2"/>
        </w:numPr>
      </w:pPr>
      <w:r>
        <w:t xml:space="preserve">Search the Internet and choose at least one Web site that describes these medications </w:t>
      </w:r>
      <w:proofErr w:type="gramStart"/>
      <w:r>
        <w:t>and</w:t>
      </w:r>
      <w:proofErr w:type="gramEnd"/>
      <w:r>
        <w:t xml:space="preserve"> the associated side effects. Decide which, if any, of Mary’s medications are a potential cause for falls.</w:t>
      </w:r>
    </w:p>
    <w:p w:rsidR="00F51DDD" w:rsidRDefault="00F6610C" w:rsidP="00F51DDD">
      <w:pPr>
        <w:pStyle w:val="APA"/>
        <w:ind w:left="1080" w:firstLine="0"/>
      </w:pPr>
      <w:r>
        <w:t xml:space="preserve">According to </w:t>
      </w:r>
      <w:proofErr w:type="spellStart"/>
      <w:r>
        <w:t>PubMed</w:t>
      </w:r>
      <w:proofErr w:type="spellEnd"/>
      <w:r>
        <w:t xml:space="preserve"> Health (2010), </w:t>
      </w:r>
      <w:proofErr w:type="spellStart"/>
      <w:r>
        <w:t>metoprolol</w:t>
      </w:r>
      <w:proofErr w:type="spellEnd"/>
      <w:r>
        <w:t xml:space="preserve"> has a side effect of lightheadedness or dizziness and therefore increases Mary’s risk for a fall if she experiences this. It also states that </w:t>
      </w:r>
      <w:proofErr w:type="spellStart"/>
      <w:r>
        <w:t>pioglitazone</w:t>
      </w:r>
      <w:proofErr w:type="spellEnd"/>
      <w:r>
        <w:t xml:space="preserve"> can cause vision loss and pain in the arms or legs. Both of these could add a fall risk to Mary’s health. If her vision is not good she may trip, and if she is experiencing bad enough leg pain it could cause her leg to give out and she would fall. </w:t>
      </w:r>
      <w:proofErr w:type="spellStart"/>
      <w:r>
        <w:t>Glimepiride</w:t>
      </w:r>
      <w:proofErr w:type="spellEnd"/>
      <w:r>
        <w:t xml:space="preserve"> can also cause dizziness, increasing the risk for Mary to fall (</w:t>
      </w:r>
      <w:proofErr w:type="spellStart"/>
      <w:r>
        <w:t>PubMed</w:t>
      </w:r>
      <w:proofErr w:type="spellEnd"/>
      <w:r>
        <w:t xml:space="preserve"> Health, 2010).</w:t>
      </w:r>
    </w:p>
    <w:p w:rsidR="00FF4F7B" w:rsidRDefault="00FF4F7B" w:rsidP="00FF4F7B">
      <w:pPr>
        <w:pStyle w:val="APA"/>
        <w:numPr>
          <w:ilvl w:val="0"/>
          <w:numId w:val="2"/>
        </w:numPr>
      </w:pPr>
      <w:r>
        <w:t>What ideas can be offered in helping Mary visit her husband every day to help decrease Mary’s fatigue?</w:t>
      </w:r>
    </w:p>
    <w:p w:rsidR="00F51DDD" w:rsidRDefault="00F51DDD" w:rsidP="00F51DDD">
      <w:pPr>
        <w:pStyle w:val="APA"/>
        <w:ind w:left="1080" w:firstLine="0"/>
      </w:pPr>
      <w:r>
        <w:t>I think Mary could try and arrange for bus transportation. It might also be a good idea for her to move to an independent living facility closer to her husband.</w:t>
      </w:r>
    </w:p>
    <w:p w:rsidR="00F77FF7" w:rsidRPr="00F77FF7" w:rsidRDefault="00F77FF7" w:rsidP="00F77FF7">
      <w:pPr>
        <w:overflowPunct/>
        <w:textAlignment w:val="auto"/>
        <w:rPr>
          <w:rFonts w:ascii="ITCGaramondStd-Bk" w:hAnsi="ITCGaramondStd-Bk" w:cs="ITCGaramondStd-Bk"/>
          <w:color w:val="FF0000"/>
        </w:rPr>
      </w:pPr>
      <w:r>
        <w:t xml:space="preserve">  </w:t>
      </w:r>
      <w:r w:rsidRPr="00F77FF7">
        <w:rPr>
          <w:rFonts w:ascii="ITCGaramondStd-Bk" w:hAnsi="ITCGaramondStd-Bk" w:cs="ITCGaramondStd-Bk"/>
          <w:color w:val="FF0000"/>
        </w:rPr>
        <w:t>Family caregivers need to recognize when they need help, including (1) what kind of help, (2) how to ask for help, (3) and whom to ask (Pierce &amp; Lutz, 2009). Alternative transportation such as bus or train might be considered. Neighbors or friends or church members and /or family members who live nearby could help to provide transportation</w:t>
      </w:r>
    </w:p>
    <w:p w:rsidR="00F77FF7" w:rsidRDefault="00F77FF7" w:rsidP="00F77FF7">
      <w:pPr>
        <w:overflowPunct/>
        <w:textAlignment w:val="auto"/>
      </w:pPr>
    </w:p>
    <w:p w:rsidR="00FF4F7B" w:rsidRDefault="00FF4F7B" w:rsidP="00F51DDD">
      <w:pPr>
        <w:pStyle w:val="APA"/>
        <w:numPr>
          <w:ilvl w:val="0"/>
          <w:numId w:val="2"/>
        </w:numPr>
      </w:pPr>
      <w:r>
        <w:t>What are other ideas to keep older adults living at home connected to others in times of emergencies?</w:t>
      </w:r>
    </w:p>
    <w:p w:rsidR="00875EC4" w:rsidRDefault="00875EC4" w:rsidP="00875EC4">
      <w:pPr>
        <w:pStyle w:val="APA"/>
        <w:ind w:left="1080" w:firstLine="0"/>
      </w:pPr>
      <w:r>
        <w:t xml:space="preserve">Some ideas to keep older adults living at home and connected to others might be hiring a full or part-time caretaker, having that person move in with younger family </w:t>
      </w:r>
      <w:r>
        <w:lastRenderedPageBreak/>
        <w:t xml:space="preserve">members who can care for them, or equipping the house to meet the elderly person’s needs. </w:t>
      </w:r>
    </w:p>
    <w:p w:rsidR="00F77FF7" w:rsidRPr="001164EF" w:rsidRDefault="00F77FF7" w:rsidP="001164EF">
      <w:pPr>
        <w:overflowPunct/>
        <w:textAlignment w:val="auto"/>
        <w:rPr>
          <w:rFonts w:ascii="ITCGaramondStd-Bk" w:hAnsi="ITCGaramondStd-Bk" w:cs="ITCGaramondStd-Bk"/>
          <w:color w:val="FF0000"/>
        </w:rPr>
      </w:pPr>
      <w:r>
        <w:t xml:space="preserve"> </w:t>
      </w:r>
      <w:r w:rsidRPr="001164EF">
        <w:rPr>
          <w:rFonts w:ascii="ITCGaramondStd-Bk" w:hAnsi="ITCGaramondStd-Bk" w:cs="ITCGaramondStd-Bk"/>
          <w:color w:val="FF0000"/>
        </w:rPr>
        <w:t>Support systems to keep caregivers connected for unexpected occurrences need and/or neighbors could take turns to check on older adults every day by telephoning</w:t>
      </w:r>
      <w:r w:rsidR="001164EF" w:rsidRPr="001164EF">
        <w:rPr>
          <w:rFonts w:ascii="ITCGaramondStd-Bk" w:hAnsi="ITCGaramondStd-Bk" w:cs="ITCGaramondStd-Bk"/>
          <w:color w:val="FF0000"/>
        </w:rPr>
        <w:t xml:space="preserve"> </w:t>
      </w:r>
      <w:r w:rsidRPr="001164EF">
        <w:rPr>
          <w:rFonts w:ascii="ITCGaramondStd-Bk" w:hAnsi="ITCGaramondStd-Bk" w:cs="ITCGaramondStd-Bk"/>
          <w:color w:val="FF0000"/>
        </w:rPr>
        <w:t>or stopping by the home. Affordable wireless systems that are worn as a pendant,</w:t>
      </w:r>
      <w:r w:rsidR="001164EF" w:rsidRPr="001164EF">
        <w:rPr>
          <w:rFonts w:ascii="ITCGaramondStd-Bk" w:hAnsi="ITCGaramondStd-Bk" w:cs="ITCGaramondStd-Bk"/>
          <w:color w:val="FF0000"/>
        </w:rPr>
        <w:t xml:space="preserve"> </w:t>
      </w:r>
      <w:r w:rsidRPr="001164EF">
        <w:rPr>
          <w:rFonts w:ascii="ITCGaramondStd-Bk" w:hAnsi="ITCGaramondStd-Bk" w:cs="ITCGaramondStd-Bk"/>
          <w:color w:val="FF0000"/>
        </w:rPr>
        <w:t>necklace, or wrist band connecting the person with the push of a button to fire</w:t>
      </w:r>
      <w:r w:rsidR="001164EF" w:rsidRPr="001164EF">
        <w:rPr>
          <w:rFonts w:ascii="ITCGaramondStd-Bk" w:hAnsi="ITCGaramondStd-Bk" w:cs="ITCGaramondStd-Bk"/>
          <w:color w:val="FF0000"/>
        </w:rPr>
        <w:t xml:space="preserve"> </w:t>
      </w:r>
      <w:r w:rsidRPr="001164EF">
        <w:rPr>
          <w:rFonts w:ascii="ITCGaramondStd-Bk" w:hAnsi="ITCGaramondStd-Bk" w:cs="ITCGaramondStd-Bk"/>
          <w:color w:val="FF0000"/>
        </w:rPr>
        <w:t>and health care services provide a level of comfort in knowing that help is available</w:t>
      </w:r>
    </w:p>
    <w:p w:rsidR="001164EF" w:rsidRPr="001164EF" w:rsidRDefault="001164EF" w:rsidP="001164EF">
      <w:pPr>
        <w:overflowPunct/>
        <w:textAlignment w:val="auto"/>
        <w:rPr>
          <w:rFonts w:ascii="ITCGaramondStd-Bk" w:hAnsi="ITCGaramondStd-Bk" w:cs="ITCGaramondStd-Bk"/>
          <w:color w:val="FF0000"/>
        </w:rPr>
      </w:pPr>
    </w:p>
    <w:p w:rsidR="001164EF" w:rsidRPr="001164EF" w:rsidRDefault="001164EF" w:rsidP="001164EF">
      <w:pPr>
        <w:overflowPunct/>
        <w:textAlignment w:val="auto"/>
        <w:rPr>
          <w:color w:val="FF0000"/>
        </w:rPr>
      </w:pPr>
    </w:p>
    <w:p w:rsidR="00FF4F7B" w:rsidRDefault="00FF4F7B" w:rsidP="00FF4F7B">
      <w:pPr>
        <w:pStyle w:val="APA"/>
        <w:numPr>
          <w:ilvl w:val="0"/>
          <w:numId w:val="2"/>
        </w:numPr>
      </w:pPr>
      <w:r>
        <w:t>What can be suggested to remedy these four environmental factors?</w:t>
      </w:r>
    </w:p>
    <w:p w:rsidR="00F6610C" w:rsidRDefault="00670B99" w:rsidP="00F6610C">
      <w:pPr>
        <w:pStyle w:val="APA"/>
        <w:ind w:left="1080" w:firstLine="0"/>
      </w:pPr>
      <w:r>
        <w:t xml:space="preserve">Mary could hire someone to help her de-clutter, fix the loose carpet and slippery floor, add more lighting, and fix or add the handrails and stairs. Her daughter should help coordinate this being done to ensure it is done correctly. Once done, Mary should have her house inspected again. </w:t>
      </w:r>
    </w:p>
    <w:p w:rsidR="00FF4F7B" w:rsidRDefault="00FF4F7B" w:rsidP="00FF4F7B">
      <w:pPr>
        <w:pStyle w:val="APA"/>
        <w:numPr>
          <w:ilvl w:val="0"/>
          <w:numId w:val="2"/>
        </w:numPr>
      </w:pPr>
      <w:r>
        <w:t xml:space="preserve">Name another example of an environmental factor that can be a cause of falls and needs to be included in Mary’s environmental evaluation. Tell how this factor might be resolved. </w:t>
      </w:r>
    </w:p>
    <w:p w:rsidR="00670B99" w:rsidRDefault="00670B99" w:rsidP="00670B99">
      <w:pPr>
        <w:pStyle w:val="APA"/>
        <w:ind w:left="1080" w:firstLine="0"/>
      </w:pPr>
      <w:r>
        <w:t xml:space="preserve">Simply having the stairs present is probably not a good idea for Mary at her age with her history of falling. Honestly, I think Mary should move to a more suitable home or to an independent living facility. </w:t>
      </w:r>
    </w:p>
    <w:p w:rsidR="001164EF" w:rsidRDefault="001164EF" w:rsidP="001164EF">
      <w:pPr>
        <w:overflowPunct/>
        <w:textAlignment w:val="auto"/>
        <w:rPr>
          <w:rFonts w:ascii="ITCGaramondStd-Bk" w:hAnsi="ITCGaramondStd-Bk" w:cs="ITCGaramondStd-Bk"/>
        </w:rPr>
      </w:pPr>
      <w:r>
        <w:t xml:space="preserve"> </w:t>
      </w:r>
      <w:r w:rsidRPr="001164EF">
        <w:rPr>
          <w:rFonts w:ascii="ITCGaramondStd-Bk" w:hAnsi="ITCGaramondStd-Bk" w:cs="ITCGaramondStd-Bk"/>
          <w:color w:val="FF0000"/>
        </w:rPr>
        <w:t>Other examples of environmental factors that cause falls and how they might be modified in order to prevent falls include the following: (1) Hazardous bathrooms—install grab bars in bathtub or shower and by toilet, use rubber mats in tub or shower and take up when not in use, install raised toilet seat; (2) Unsteady furniture—repair chairs and sofas that are not sturdy and secure. Furniture needs to be not too low or too deep to get in and out of easily, and it needs to have full arms to aid in sitting or rising. Make sure that furniture, which might be used for support when walking or rising, does not tilt. Be sure that there is enough space to walk through the room leaving clear passageways for traffic; (3) Rambunctious pets—in order to prevent tripping over a cat, small dog, or other pet keep them in one place at night or use night—lights so you can see where they are. Train your pets not to jump or get underfoot; (4) Unsafe footwear-suggest that people wear low-heeled shoes that fit well and give the feet good support. Use footwear with nonskid soles. Check the heels and soles of the shoes for wear and repair or replace worn heels or soles</w:t>
      </w:r>
      <w:r>
        <w:rPr>
          <w:rFonts w:ascii="ITCGaramondStd-Bk" w:hAnsi="ITCGaramondStd-Bk" w:cs="ITCGaramondStd-Bk"/>
        </w:rPr>
        <w:t>.</w:t>
      </w:r>
    </w:p>
    <w:p w:rsidR="001164EF" w:rsidRDefault="001164EF" w:rsidP="001164EF">
      <w:pPr>
        <w:overflowPunct/>
        <w:textAlignment w:val="auto"/>
      </w:pPr>
    </w:p>
    <w:p w:rsidR="00FF4F7B" w:rsidRDefault="00FF4F7B" w:rsidP="00FF4F7B">
      <w:pPr>
        <w:pStyle w:val="APA"/>
        <w:numPr>
          <w:ilvl w:val="0"/>
          <w:numId w:val="2"/>
        </w:numPr>
      </w:pPr>
      <w:r>
        <w:t>Choose either (a) an exercise program to increase strength, balance, and muscle</w:t>
      </w:r>
      <w:r w:rsidR="00535AEE">
        <w:t xml:space="preserve"> tone or (b) how to get up from a fall and briefly describe how you would begin to educate Mary. </w:t>
      </w:r>
    </w:p>
    <w:p w:rsidR="00875EC4" w:rsidRDefault="00875EC4" w:rsidP="00875EC4">
      <w:pPr>
        <w:pStyle w:val="APA"/>
        <w:ind w:left="1080" w:firstLine="0"/>
      </w:pPr>
      <w:r>
        <w:lastRenderedPageBreak/>
        <w:t xml:space="preserve">(b) I would educate Mary by first asking if she knows how to get up after a fall. If she does know I would make sure she can explain it correctly to me and I would answer any questions she might have. If she does not know, I would explain to her that she should first prop her upper body up onto her elbows, then slowly rise to her hands and knees, next grab onto a firm surface for support and, facing the firm surface, ease herself into a standing position (Health Promotion in Berkshire, 2009). </w:t>
      </w:r>
    </w:p>
    <w:p w:rsidR="001C0328" w:rsidRDefault="001C0328" w:rsidP="001C0328">
      <w:pPr>
        <w:pStyle w:val="APA"/>
      </w:pPr>
    </w:p>
    <w:p w:rsidR="001C0328" w:rsidRDefault="001C0328" w:rsidP="001C0328">
      <w:pPr>
        <w:pStyle w:val="APA"/>
        <w:jc w:val="center"/>
      </w:pPr>
      <w:r>
        <w:t>References</w:t>
      </w:r>
    </w:p>
    <w:p w:rsidR="001C0328" w:rsidRDefault="001C0328" w:rsidP="001C0328">
      <w:pPr>
        <w:pStyle w:val="APA"/>
        <w:ind w:left="720" w:hanging="720"/>
      </w:pPr>
      <w:r>
        <w:t>Case Study 9.2</w:t>
      </w:r>
    </w:p>
    <w:p w:rsidR="001C0328" w:rsidRDefault="001C0328" w:rsidP="001C0328">
      <w:pPr>
        <w:pStyle w:val="APA"/>
        <w:ind w:left="720" w:hanging="720"/>
      </w:pPr>
      <w:proofErr w:type="spellStart"/>
      <w:r w:rsidRPr="001C0328">
        <w:t>Mauk</w:t>
      </w:r>
      <w:proofErr w:type="spellEnd"/>
      <w:r w:rsidRPr="001C0328">
        <w:t xml:space="preserve">, K. L. (2010). </w:t>
      </w:r>
      <w:proofErr w:type="spellStart"/>
      <w:r w:rsidRPr="001C0328">
        <w:rPr>
          <w:i/>
        </w:rPr>
        <w:t>Gerontological</w:t>
      </w:r>
      <w:proofErr w:type="spellEnd"/>
      <w:r w:rsidRPr="001C0328">
        <w:rPr>
          <w:i/>
        </w:rPr>
        <w:t xml:space="preserve"> nursing: Competencies for care</w:t>
      </w:r>
      <w:r w:rsidRPr="001C0328">
        <w:t xml:space="preserve"> (2nd </w:t>
      </w:r>
      <w:proofErr w:type="gramStart"/>
      <w:r w:rsidRPr="001C0328">
        <w:t>ed</w:t>
      </w:r>
      <w:proofErr w:type="gramEnd"/>
      <w:r w:rsidRPr="001C0328">
        <w:t xml:space="preserve">.). Boston, MA:  Jones &amp; </w:t>
      </w:r>
      <w:commentRangeStart w:id="9"/>
      <w:r w:rsidRPr="001C0328">
        <w:t>Bartlett</w:t>
      </w:r>
      <w:commentRangeEnd w:id="9"/>
      <w:r w:rsidR="001164EF">
        <w:rPr>
          <w:rStyle w:val="CommentReference"/>
        </w:rPr>
        <w:commentReference w:id="9"/>
      </w:r>
    </w:p>
    <w:p w:rsidR="00132D9C" w:rsidRDefault="00132D9C" w:rsidP="001C0328">
      <w:pPr>
        <w:pStyle w:val="APA"/>
        <w:ind w:left="720" w:hanging="720"/>
      </w:pPr>
      <w:proofErr w:type="spellStart"/>
      <w:r>
        <w:t>Dembner</w:t>
      </w:r>
      <w:proofErr w:type="spellEnd"/>
      <w:r>
        <w:t>, A. (2006).</w:t>
      </w:r>
      <w:r w:rsidRPr="00132D9C">
        <w:rPr>
          <w:i/>
        </w:rPr>
        <w:t xml:space="preserve"> </w:t>
      </w:r>
      <w:proofErr w:type="gramStart"/>
      <w:r w:rsidRPr="00132D9C">
        <w:rPr>
          <w:i/>
        </w:rPr>
        <w:t>A staggering death toll, but limited attention</w:t>
      </w:r>
      <w:r>
        <w:t>.</w:t>
      </w:r>
      <w:proofErr w:type="gramEnd"/>
      <w:r>
        <w:t xml:space="preserve"> </w:t>
      </w:r>
      <w:proofErr w:type="gramStart"/>
      <w:r>
        <w:rPr>
          <w:i/>
        </w:rPr>
        <w:t>The Boston Globe.</w:t>
      </w:r>
      <w:proofErr w:type="gramEnd"/>
      <w:r w:rsidR="002C5B1D">
        <w:t xml:space="preserve"> Retrieved from: </w:t>
      </w:r>
      <w:r w:rsidRPr="00132D9C">
        <w:t>http://www.boston.com/yourlife/health/aging/articles/2006/12/10/a_staggering_death_toll_but_limited_attention/</w:t>
      </w:r>
    </w:p>
    <w:p w:rsidR="002C5B1D" w:rsidRDefault="002C5B1D" w:rsidP="001C0328">
      <w:pPr>
        <w:pStyle w:val="APA"/>
        <w:ind w:left="720" w:hanging="720"/>
      </w:pPr>
      <w:proofErr w:type="spellStart"/>
      <w:proofErr w:type="gramStart"/>
      <w:r>
        <w:t>Wexner</w:t>
      </w:r>
      <w:proofErr w:type="spellEnd"/>
      <w:r>
        <w:t xml:space="preserve"> Medical Center.</w:t>
      </w:r>
      <w:proofErr w:type="gramEnd"/>
      <w:r>
        <w:t xml:space="preserve"> (2012). </w:t>
      </w:r>
      <w:r w:rsidRPr="002C5B1D">
        <w:rPr>
          <w:i/>
        </w:rPr>
        <w:t>Using equipment to help in daily activities after your total hip replacement.</w:t>
      </w:r>
      <w:r>
        <w:t xml:space="preserve"> Retrieved from: </w:t>
      </w:r>
      <w:r w:rsidRPr="002C5B1D">
        <w:t>https://patienteducation.osumc.edu/Documents/using-equipment-activities-hip.pdf</w:t>
      </w:r>
    </w:p>
    <w:p w:rsidR="00DD611B" w:rsidRDefault="00DD611B" w:rsidP="001C0328">
      <w:pPr>
        <w:pStyle w:val="APA"/>
        <w:ind w:left="720" w:hanging="720"/>
      </w:pPr>
      <w:r>
        <w:t xml:space="preserve">Allina Health. </w:t>
      </w:r>
      <w:proofErr w:type="gramStart"/>
      <w:r>
        <w:t xml:space="preserve">(2007). </w:t>
      </w:r>
      <w:r w:rsidRPr="00DD611B">
        <w:rPr>
          <w:i/>
        </w:rPr>
        <w:t>Care equipment used after hip replacement surgery</w:t>
      </w:r>
      <w:r>
        <w:rPr>
          <w:i/>
        </w:rPr>
        <w:t>.</w:t>
      </w:r>
      <w:proofErr w:type="gramEnd"/>
      <w:r>
        <w:rPr>
          <w:i/>
        </w:rPr>
        <w:t xml:space="preserve"> </w:t>
      </w:r>
      <w:r>
        <w:t xml:space="preserve">Retrieved from: </w:t>
      </w:r>
      <w:r w:rsidRPr="00DD611B">
        <w:t>http://www.allinahealth.org/ac/patiented.nsf/page/hip_care_equipment</w:t>
      </w:r>
    </w:p>
    <w:p w:rsidR="00FF22F5" w:rsidRDefault="00FF22F5" w:rsidP="001C0328">
      <w:pPr>
        <w:pStyle w:val="APA"/>
        <w:ind w:left="720" w:hanging="720"/>
      </w:pPr>
      <w:proofErr w:type="gramStart"/>
      <w:r>
        <w:t xml:space="preserve">Centers </w:t>
      </w:r>
      <w:r w:rsidR="001164EF">
        <w:rPr>
          <w:color w:val="FF0000"/>
        </w:rPr>
        <w:t>f</w:t>
      </w:r>
      <w:r>
        <w:t>or Disease Control and Prevention.</w:t>
      </w:r>
      <w:proofErr w:type="gramEnd"/>
      <w:r>
        <w:t xml:space="preserve"> </w:t>
      </w:r>
      <w:proofErr w:type="gramStart"/>
      <w:r>
        <w:t xml:space="preserve">(2011). </w:t>
      </w:r>
      <w:r>
        <w:rPr>
          <w:i/>
        </w:rPr>
        <w:t>Costs of falls among older adults.</w:t>
      </w:r>
      <w:proofErr w:type="gramEnd"/>
      <w:r>
        <w:t xml:space="preserve"> Retrieved from: </w:t>
      </w:r>
      <w:r w:rsidRPr="00FF22F5">
        <w:t>http://www.cdc.gov/HomeandRecreationalSafety/Falls/fallcost.html</w:t>
      </w:r>
    </w:p>
    <w:p w:rsidR="00875EC4" w:rsidRDefault="00875EC4" w:rsidP="001C0328">
      <w:pPr>
        <w:pStyle w:val="APA"/>
        <w:ind w:left="720" w:hanging="720"/>
      </w:pPr>
      <w:proofErr w:type="gramStart"/>
      <w:r>
        <w:lastRenderedPageBreak/>
        <w:t>Health Promotion in Berkshire.</w:t>
      </w:r>
      <w:proofErr w:type="gramEnd"/>
      <w:r>
        <w:t xml:space="preserve"> (2009). </w:t>
      </w:r>
      <w:r>
        <w:rPr>
          <w:i/>
        </w:rPr>
        <w:t>Practical advice if you have had a fall.</w:t>
      </w:r>
      <w:r>
        <w:t xml:space="preserve"> Retrieved from: </w:t>
      </w:r>
      <w:r w:rsidRPr="00875EC4">
        <w:t>http://www.bhps.org.uk/falls/hadafall.htm</w:t>
      </w:r>
    </w:p>
    <w:p w:rsidR="00F51DDD" w:rsidRDefault="00F51DDD" w:rsidP="001C0328">
      <w:pPr>
        <w:pStyle w:val="APA"/>
        <w:ind w:left="720" w:hanging="720"/>
      </w:pPr>
      <w:proofErr w:type="gramStart"/>
      <w:r>
        <w:t>Mayo Clinic.</w:t>
      </w:r>
      <w:proofErr w:type="gramEnd"/>
      <w:r>
        <w:t xml:space="preserve"> </w:t>
      </w:r>
      <w:proofErr w:type="gramStart"/>
      <w:r>
        <w:t xml:space="preserve">(2012). </w:t>
      </w:r>
      <w:r>
        <w:rPr>
          <w:i/>
        </w:rPr>
        <w:t>Healthy aging.</w:t>
      </w:r>
      <w:proofErr w:type="gramEnd"/>
      <w:r>
        <w:t xml:space="preserve"> Retrieved from: </w:t>
      </w:r>
      <w:r w:rsidRPr="00F51DDD">
        <w:t>http://www.mayoclinic.com/health/fall-prevention/HQ00657/NSECTIONGROUP=2</w:t>
      </w:r>
    </w:p>
    <w:p w:rsidR="00F6610C" w:rsidRDefault="00F6610C" w:rsidP="001C0328">
      <w:pPr>
        <w:pStyle w:val="APA"/>
        <w:ind w:left="720" w:hanging="720"/>
      </w:pPr>
      <w:proofErr w:type="spellStart"/>
      <w:r>
        <w:t>PubMed</w:t>
      </w:r>
      <w:proofErr w:type="spellEnd"/>
      <w:r>
        <w:t xml:space="preserve"> Health. </w:t>
      </w:r>
      <w:proofErr w:type="gramStart"/>
      <w:r>
        <w:t xml:space="preserve">(2010). </w:t>
      </w:r>
      <w:proofErr w:type="spellStart"/>
      <w:r>
        <w:rPr>
          <w:i/>
        </w:rPr>
        <w:t>Metoprolol</w:t>
      </w:r>
      <w:proofErr w:type="spellEnd"/>
      <w:r>
        <w:rPr>
          <w:i/>
        </w:rPr>
        <w:t xml:space="preserve">, </w:t>
      </w:r>
      <w:proofErr w:type="spellStart"/>
      <w:r>
        <w:rPr>
          <w:i/>
        </w:rPr>
        <w:t>glimepiride</w:t>
      </w:r>
      <w:proofErr w:type="spellEnd"/>
      <w:r>
        <w:rPr>
          <w:i/>
        </w:rPr>
        <w:t xml:space="preserve">, </w:t>
      </w:r>
      <w:proofErr w:type="spellStart"/>
      <w:r>
        <w:rPr>
          <w:i/>
        </w:rPr>
        <w:t>pioglitazone</w:t>
      </w:r>
      <w:proofErr w:type="spellEnd"/>
      <w:r>
        <w:rPr>
          <w:i/>
        </w:rPr>
        <w:t>.</w:t>
      </w:r>
      <w:proofErr w:type="gramEnd"/>
      <w:r>
        <w:rPr>
          <w:i/>
        </w:rPr>
        <w:t xml:space="preserve"> </w:t>
      </w:r>
      <w:r>
        <w:t xml:space="preserve">Retrieved from: </w:t>
      </w:r>
      <w:r w:rsidRPr="00F6610C">
        <w:t>http://www.ncbi.nlm.nih.gov/pubmedhealth/PMH0000981/</w:t>
      </w:r>
      <w:r>
        <w:t>,</w:t>
      </w:r>
      <w:r w:rsidRPr="00F6610C">
        <w:t xml:space="preserve"> http://www.ncbi.nlm.nih.gov/pubmedhealth/PMH0001047/</w:t>
      </w:r>
      <w:proofErr w:type="gramStart"/>
      <w:r>
        <w:t xml:space="preserve">,  </w:t>
      </w:r>
      <w:r w:rsidRPr="00F6610C">
        <w:t>http</w:t>
      </w:r>
      <w:proofErr w:type="gramEnd"/>
      <w:r w:rsidRPr="00F6610C">
        <w:t>://www.ncbi.nlm.nih.gov/pubmedhealth/PMH0000795/</w:t>
      </w:r>
    </w:p>
    <w:p w:rsidR="0058738D" w:rsidRPr="00E44C34" w:rsidRDefault="00105606" w:rsidP="00E44C34">
      <w:pPr>
        <w:pStyle w:val="APA"/>
        <w:ind w:left="720" w:hanging="720"/>
      </w:pPr>
      <w:r w:rsidRPr="00105606">
        <w:t xml:space="preserve">Beaupre, L. A., Saunders, L. D., Johnston, D. C., </w:t>
      </w:r>
      <w:proofErr w:type="spellStart"/>
      <w:r w:rsidRPr="00105606">
        <w:t>Buckinham</w:t>
      </w:r>
      <w:proofErr w:type="spellEnd"/>
      <w:r w:rsidRPr="00105606">
        <w:t xml:space="preserve">, J., Jones, C. A., &amp; </w:t>
      </w:r>
      <w:proofErr w:type="spellStart"/>
      <w:r w:rsidRPr="00105606">
        <w:t>Majumdar</w:t>
      </w:r>
      <w:proofErr w:type="spellEnd"/>
      <w:r w:rsidRPr="00105606">
        <w:t>, S. R. (2005, November 5</w:t>
      </w:r>
      <w:r w:rsidRPr="00105606">
        <w:rPr>
          <w:i/>
        </w:rPr>
        <w:t>). Best practices for elderly hip fracture patients. 20</w:t>
      </w:r>
      <w:r w:rsidRPr="00105606">
        <w:t>(11), 1019-1025. Retrieved from http://www.ncbi.nlm.nih.gov/pmc/articles/PMC1490246/</w:t>
      </w:r>
    </w:p>
    <w:sectPr w:rsidR="0058738D" w:rsidRPr="00E44C34" w:rsidSect="000D273E">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Mary" w:date="2012-06-29T20:32:00Z" w:initials="M">
    <w:p w:rsidR="001164EF" w:rsidRDefault="001164EF">
      <w:pPr>
        <w:pStyle w:val="CommentText"/>
      </w:pPr>
      <w:r>
        <w:rPr>
          <w:rStyle w:val="CommentReference"/>
        </w:rPr>
        <w:annotationRef/>
      </w:r>
      <w:r>
        <w:t>End in a 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F85" w:rsidRDefault="00606F85">
      <w:r>
        <w:separator/>
      </w:r>
    </w:p>
  </w:endnote>
  <w:endnote w:type="continuationSeparator" w:id="0">
    <w:p w:rsidR="00606F85" w:rsidRDefault="00606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3E" w:rsidRDefault="000D27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3E" w:rsidRDefault="000D27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3E" w:rsidRDefault="000D27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F85" w:rsidRDefault="00606F85">
      <w:r>
        <w:separator/>
      </w:r>
    </w:p>
  </w:footnote>
  <w:footnote w:type="continuationSeparator" w:id="0">
    <w:p w:rsidR="00606F85" w:rsidRDefault="00606F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3E" w:rsidRDefault="000D27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3E" w:rsidRPr="000D273E" w:rsidRDefault="000D273E" w:rsidP="000D273E">
    <w:pPr>
      <w:pStyle w:val="APAPageHeading"/>
    </w:pPr>
    <w:r>
      <w:t>CASE STUDY 9.2 &amp; 9.3</w:t>
    </w:r>
    <w:r>
      <w:tab/>
    </w:r>
    <w:r w:rsidR="000B148F">
      <w:fldChar w:fldCharType="begin"/>
    </w:r>
    <w:r>
      <w:instrText xml:space="preserve"> PAGE  \* MERGEFORMAT </w:instrText>
    </w:r>
    <w:r w:rsidR="000B148F">
      <w:fldChar w:fldCharType="separate"/>
    </w:r>
    <w:r w:rsidR="001164EF">
      <w:rPr>
        <w:noProof/>
      </w:rPr>
      <w:t>3</w:t>
    </w:r>
    <w:r w:rsidR="000B148F">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3E" w:rsidRPr="000D273E" w:rsidRDefault="000D273E" w:rsidP="000D273E">
    <w:pPr>
      <w:pStyle w:val="APAPageHeading"/>
    </w:pPr>
    <w:r>
      <w:t>Running head: CASE STUDY 9.2 &amp; 9.3</w:t>
    </w:r>
    <w:r>
      <w:tab/>
    </w:r>
    <w:r w:rsidR="000B148F">
      <w:fldChar w:fldCharType="begin"/>
    </w:r>
    <w:r>
      <w:instrText xml:space="preserve"> PAGE  \* MERGEFORMAT </w:instrText>
    </w:r>
    <w:r w:rsidR="000B148F">
      <w:fldChar w:fldCharType="separate"/>
    </w:r>
    <w:r w:rsidR="001164EF">
      <w:rPr>
        <w:noProof/>
      </w:rPr>
      <w:t>1</w:t>
    </w:r>
    <w:r w:rsidR="000B148F">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3E" w:rsidRPr="000D273E" w:rsidRDefault="000D273E" w:rsidP="000D273E">
    <w:pPr>
      <w:pStyle w:val="APAPageHeading"/>
    </w:pPr>
    <w:r>
      <w:t>CASE STUDY 9.2 &amp; 9.3</w:t>
    </w:r>
    <w:r>
      <w:tab/>
    </w:r>
    <w:r w:rsidR="000B148F">
      <w:fldChar w:fldCharType="begin"/>
    </w:r>
    <w:r>
      <w:instrText xml:space="preserve"> PAGE  \* MERGEFORMAT </w:instrText>
    </w:r>
    <w:r w:rsidR="000B148F">
      <w:fldChar w:fldCharType="separate"/>
    </w:r>
    <w:r w:rsidR="001164EF">
      <w:rPr>
        <w:noProof/>
      </w:rPr>
      <w:t>2</w:t>
    </w:r>
    <w:r w:rsidR="000B148F">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3E2"/>
    <w:multiLevelType w:val="hybridMultilevel"/>
    <w:tmpl w:val="0DA27454"/>
    <w:lvl w:ilvl="0" w:tplc="C2EA1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124125"/>
    <w:multiLevelType w:val="hybridMultilevel"/>
    <w:tmpl w:val="E81AE73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FD05327"/>
    <w:multiLevelType w:val="hybridMultilevel"/>
    <w:tmpl w:val="C6FA156E"/>
    <w:lvl w:ilvl="0" w:tplc="0EC4E2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docVars>
    <w:docVar w:name="bmHeaderInfo" w:val="CASE STUDY 9.2 &amp; 9.3"/>
    <w:docVar w:name="cIsAbstract" w:val="False"/>
    <w:docVar w:name="cPaperAPAOrMLA" w:val="1"/>
    <w:docVar w:name="cUniquePaperID" w:val="410769388888889I0"/>
    <w:docVar w:name="LastEditedVersion" w:val="5"/>
  </w:docVars>
  <w:rsids>
    <w:rsidRoot w:val="000D273E"/>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48F"/>
    <w:rsid w:val="000B170D"/>
    <w:rsid w:val="000B18A9"/>
    <w:rsid w:val="000B25A0"/>
    <w:rsid w:val="000B4365"/>
    <w:rsid w:val="000B772C"/>
    <w:rsid w:val="000C03BF"/>
    <w:rsid w:val="000C11DE"/>
    <w:rsid w:val="000C1FC5"/>
    <w:rsid w:val="000C6EAB"/>
    <w:rsid w:val="000C7EF4"/>
    <w:rsid w:val="000D156B"/>
    <w:rsid w:val="000D273E"/>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606"/>
    <w:rsid w:val="0010597B"/>
    <w:rsid w:val="00106873"/>
    <w:rsid w:val="00106E14"/>
    <w:rsid w:val="001070AD"/>
    <w:rsid w:val="0011050C"/>
    <w:rsid w:val="00111633"/>
    <w:rsid w:val="00115618"/>
    <w:rsid w:val="0011599A"/>
    <w:rsid w:val="001164EF"/>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D9C"/>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328"/>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5ED5"/>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5B1D"/>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40A"/>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0406D"/>
    <w:rsid w:val="005101E4"/>
    <w:rsid w:val="0051076B"/>
    <w:rsid w:val="005118A0"/>
    <w:rsid w:val="0051203B"/>
    <w:rsid w:val="005141AC"/>
    <w:rsid w:val="00514423"/>
    <w:rsid w:val="005145F2"/>
    <w:rsid w:val="00517748"/>
    <w:rsid w:val="00517B3B"/>
    <w:rsid w:val="00520233"/>
    <w:rsid w:val="00521DF6"/>
    <w:rsid w:val="005228A4"/>
    <w:rsid w:val="00522AC5"/>
    <w:rsid w:val="005257C6"/>
    <w:rsid w:val="005258B0"/>
    <w:rsid w:val="005260AF"/>
    <w:rsid w:val="005278D1"/>
    <w:rsid w:val="0053102E"/>
    <w:rsid w:val="00532DA0"/>
    <w:rsid w:val="005344C2"/>
    <w:rsid w:val="00535173"/>
    <w:rsid w:val="00535AEE"/>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47D"/>
    <w:rsid w:val="00584C03"/>
    <w:rsid w:val="00586812"/>
    <w:rsid w:val="00586A2E"/>
    <w:rsid w:val="0058738D"/>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57E"/>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06F85"/>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648"/>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99"/>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4DD9"/>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5EC4"/>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1A4B"/>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6D50"/>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5F8F"/>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5E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611B"/>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4C34"/>
    <w:rsid w:val="00E46C37"/>
    <w:rsid w:val="00E51080"/>
    <w:rsid w:val="00E530D4"/>
    <w:rsid w:val="00E53B41"/>
    <w:rsid w:val="00E56D5A"/>
    <w:rsid w:val="00E57244"/>
    <w:rsid w:val="00E61BE5"/>
    <w:rsid w:val="00E62FC0"/>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D76DC"/>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1DDD"/>
    <w:rsid w:val="00F523A6"/>
    <w:rsid w:val="00F52FFF"/>
    <w:rsid w:val="00F5366F"/>
    <w:rsid w:val="00F53A8E"/>
    <w:rsid w:val="00F54BA7"/>
    <w:rsid w:val="00F55FD0"/>
    <w:rsid w:val="00F56750"/>
    <w:rsid w:val="00F608D1"/>
    <w:rsid w:val="00F61982"/>
    <w:rsid w:val="00F62D25"/>
    <w:rsid w:val="00F63319"/>
    <w:rsid w:val="00F64200"/>
    <w:rsid w:val="00F6610C"/>
    <w:rsid w:val="00F7114A"/>
    <w:rsid w:val="00F718BC"/>
    <w:rsid w:val="00F727FF"/>
    <w:rsid w:val="00F74521"/>
    <w:rsid w:val="00F74C90"/>
    <w:rsid w:val="00F7536E"/>
    <w:rsid w:val="00F763CA"/>
    <w:rsid w:val="00F76935"/>
    <w:rsid w:val="00F77C6B"/>
    <w:rsid w:val="00F77FF7"/>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22F5"/>
    <w:rsid w:val="00FF364B"/>
    <w:rsid w:val="00FF4145"/>
    <w:rsid w:val="00FF4BF3"/>
    <w:rsid w:val="00FF4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48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148F"/>
    <w:pPr>
      <w:tabs>
        <w:tab w:val="center" w:pos="4320"/>
        <w:tab w:val="right" w:pos="8640"/>
      </w:tabs>
    </w:pPr>
  </w:style>
  <w:style w:type="paragraph" w:customStyle="1" w:styleId="APA">
    <w:name w:val="APA"/>
    <w:basedOn w:val="BodyText"/>
    <w:rsid w:val="000B148F"/>
    <w:pPr>
      <w:spacing w:after="0" w:line="480" w:lineRule="auto"/>
      <w:ind w:firstLine="720"/>
    </w:pPr>
    <w:rPr>
      <w:sz w:val="24"/>
    </w:rPr>
  </w:style>
  <w:style w:type="paragraph" w:styleId="BodyText">
    <w:name w:val="Body Text"/>
    <w:basedOn w:val="Normal"/>
    <w:rsid w:val="000B148F"/>
    <w:pPr>
      <w:spacing w:after="120"/>
    </w:pPr>
  </w:style>
  <w:style w:type="paragraph" w:styleId="Footer">
    <w:name w:val="footer"/>
    <w:basedOn w:val="Normal"/>
    <w:rsid w:val="000B148F"/>
    <w:pPr>
      <w:tabs>
        <w:tab w:val="center" w:pos="4320"/>
        <w:tab w:val="right" w:pos="8640"/>
      </w:tabs>
    </w:pPr>
  </w:style>
  <w:style w:type="character" w:styleId="PageNumber">
    <w:name w:val="page number"/>
    <w:basedOn w:val="DefaultParagraphFont"/>
    <w:rsid w:val="000B148F"/>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0B148F"/>
    <w:pPr>
      <w:ind w:left="720" w:firstLine="0"/>
    </w:pPr>
  </w:style>
  <w:style w:type="paragraph" w:customStyle="1" w:styleId="APABlockQuoteSubsequentPara">
    <w:name w:val="APA Block Quote Subsequent Para"/>
    <w:basedOn w:val="APA"/>
    <w:next w:val="APA"/>
    <w:rsid w:val="000B148F"/>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0B148F"/>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0B148F"/>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2C5B1D"/>
    <w:pPr>
      <w:ind w:left="720"/>
    </w:pPr>
  </w:style>
  <w:style w:type="character" w:styleId="CommentReference">
    <w:name w:val="annotation reference"/>
    <w:basedOn w:val="DefaultParagraphFont"/>
    <w:rsid w:val="001164EF"/>
    <w:rPr>
      <w:sz w:val="16"/>
      <w:szCs w:val="16"/>
    </w:rPr>
  </w:style>
  <w:style w:type="paragraph" w:styleId="CommentText">
    <w:name w:val="annotation text"/>
    <w:basedOn w:val="Normal"/>
    <w:link w:val="CommentTextChar"/>
    <w:rsid w:val="001164EF"/>
  </w:style>
  <w:style w:type="character" w:customStyle="1" w:styleId="CommentTextChar">
    <w:name w:val="Comment Text Char"/>
    <w:basedOn w:val="DefaultParagraphFont"/>
    <w:link w:val="CommentText"/>
    <w:rsid w:val="001164EF"/>
  </w:style>
  <w:style w:type="paragraph" w:styleId="CommentSubject">
    <w:name w:val="annotation subject"/>
    <w:basedOn w:val="CommentText"/>
    <w:next w:val="CommentText"/>
    <w:link w:val="CommentSubjectChar"/>
    <w:rsid w:val="001164EF"/>
    <w:rPr>
      <w:b/>
      <w:bCs/>
    </w:rPr>
  </w:style>
  <w:style w:type="character" w:customStyle="1" w:styleId="CommentSubjectChar">
    <w:name w:val="Comment Subject Char"/>
    <w:basedOn w:val="CommentTextChar"/>
    <w:link w:val="CommentSubject"/>
    <w:rsid w:val="001164EF"/>
    <w:rPr>
      <w:b/>
      <w:bCs/>
    </w:rPr>
  </w:style>
  <w:style w:type="paragraph" w:styleId="BalloonText">
    <w:name w:val="Balloon Text"/>
    <w:basedOn w:val="Normal"/>
    <w:link w:val="BalloonTextChar"/>
    <w:rsid w:val="001164EF"/>
    <w:rPr>
      <w:rFonts w:ascii="Tahoma" w:hAnsi="Tahoma" w:cs="Tahoma"/>
      <w:sz w:val="16"/>
      <w:szCs w:val="16"/>
    </w:rPr>
  </w:style>
  <w:style w:type="character" w:customStyle="1" w:styleId="BalloonTextChar">
    <w:name w:val="Balloon Text Char"/>
    <w:basedOn w:val="DefaultParagraphFont"/>
    <w:link w:val="BalloonText"/>
    <w:rsid w:val="00116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2C5B1D"/>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8</TotalTime>
  <Pages>9</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Case Study 9.2 &amp; 9.3</vt:lpstr>
    </vt:vector>
  </TitlesOfParts>
  <Company>Toshiba</Company>
  <LinksUpToDate>false</LinksUpToDate>
  <CharactersWithSpaces>14390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9.2 &amp; 9.3</dc:title>
  <dc:subject>Copyright</dc:subject>
  <dc:creator>Joanna Kaufman</dc:creator>
  <cp:lastModifiedBy>Mary</cp:lastModifiedBy>
  <cp:revision>2</cp:revision>
  <dcterms:created xsi:type="dcterms:W3CDTF">2012-06-30T01:35:00Z</dcterms:created>
  <dcterms:modified xsi:type="dcterms:W3CDTF">2012-06-30T01:35:00Z</dcterms:modified>
</cp:coreProperties>
</file>