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3D" w:rsidRDefault="001A5A3D"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Pr="007F39C9" w:rsidRDefault="007F39C9" w:rsidP="00CA0A44">
      <w:pPr>
        <w:spacing w:line="480" w:lineRule="auto"/>
        <w:jc w:val="center"/>
        <w:rPr>
          <w:rFonts w:ascii="Times New Roman" w:hAnsi="Times New Roman"/>
          <w:color w:val="FF0000"/>
          <w:sz w:val="24"/>
        </w:rPr>
      </w:pPr>
      <w:r w:rsidRPr="007F39C9">
        <w:rPr>
          <w:rFonts w:ascii="Times New Roman" w:hAnsi="Times New Roman"/>
          <w:color w:val="FF0000"/>
          <w:sz w:val="24"/>
        </w:rPr>
        <w:t>14.5/15</w:t>
      </w: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r>
        <w:rPr>
          <w:rFonts w:ascii="Times New Roman" w:hAnsi="Times New Roman"/>
          <w:sz w:val="24"/>
        </w:rPr>
        <w:t xml:space="preserve">Jessica </w:t>
      </w:r>
      <w:proofErr w:type="spellStart"/>
      <w:r>
        <w:rPr>
          <w:rFonts w:ascii="Times New Roman" w:hAnsi="Times New Roman"/>
          <w:sz w:val="24"/>
        </w:rPr>
        <w:t>Hetrick</w:t>
      </w:r>
      <w:proofErr w:type="spellEnd"/>
    </w:p>
    <w:p w:rsidR="00CA0A44" w:rsidRDefault="00CA0A44" w:rsidP="00CA0A44">
      <w:pPr>
        <w:spacing w:line="480" w:lineRule="auto"/>
        <w:jc w:val="center"/>
        <w:rPr>
          <w:rFonts w:ascii="Times New Roman" w:hAnsi="Times New Roman"/>
          <w:sz w:val="24"/>
        </w:rPr>
      </w:pPr>
      <w:r>
        <w:rPr>
          <w:rFonts w:ascii="Times New Roman" w:hAnsi="Times New Roman"/>
          <w:sz w:val="24"/>
        </w:rPr>
        <w:t>Case Study 5</w:t>
      </w:r>
    </w:p>
    <w:p w:rsidR="00CA0A44" w:rsidRDefault="00CA0A44" w:rsidP="00CA0A44">
      <w:pPr>
        <w:spacing w:line="480" w:lineRule="auto"/>
        <w:jc w:val="center"/>
        <w:rPr>
          <w:rFonts w:ascii="Times New Roman" w:hAnsi="Times New Roman"/>
          <w:sz w:val="24"/>
        </w:rPr>
      </w:pPr>
      <w:r>
        <w:rPr>
          <w:rFonts w:ascii="Times New Roman" w:hAnsi="Times New Roman"/>
          <w:sz w:val="24"/>
        </w:rPr>
        <w:t>Lakeview College of Nursing</w:t>
      </w:r>
    </w:p>
    <w:p w:rsidR="00CA0A44" w:rsidRDefault="00CA0A44" w:rsidP="00CA0A44">
      <w:pPr>
        <w:spacing w:line="480" w:lineRule="auto"/>
        <w:jc w:val="center"/>
        <w:rPr>
          <w:rFonts w:ascii="Times New Roman" w:hAnsi="Times New Roman"/>
          <w:sz w:val="24"/>
        </w:rPr>
      </w:pPr>
      <w:r>
        <w:rPr>
          <w:rFonts w:ascii="Times New Roman" w:hAnsi="Times New Roman"/>
          <w:sz w:val="24"/>
        </w:rPr>
        <w:t>N309 B</w:t>
      </w:r>
    </w:p>
    <w:p w:rsidR="00CA0A44" w:rsidRDefault="00CA0A44" w:rsidP="00CA0A44">
      <w:pPr>
        <w:spacing w:line="480" w:lineRule="auto"/>
        <w:jc w:val="center"/>
        <w:rPr>
          <w:rFonts w:ascii="Times New Roman" w:hAnsi="Times New Roman"/>
          <w:sz w:val="24"/>
        </w:rPr>
      </w:pPr>
      <w:r>
        <w:rPr>
          <w:rFonts w:ascii="Times New Roman" w:hAnsi="Times New Roman"/>
          <w:sz w:val="24"/>
        </w:rPr>
        <w:t>February 17, 2012</w:t>
      </w: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CA0A44" w:rsidP="00CA0A44">
      <w:pPr>
        <w:spacing w:line="480" w:lineRule="auto"/>
        <w:jc w:val="center"/>
        <w:rPr>
          <w:rFonts w:ascii="Times New Roman" w:hAnsi="Times New Roman"/>
          <w:sz w:val="24"/>
        </w:rPr>
      </w:pPr>
    </w:p>
    <w:p w:rsidR="00CA0A44" w:rsidRDefault="006B1A18" w:rsidP="00CA0A44">
      <w:pPr>
        <w:spacing w:line="480" w:lineRule="auto"/>
        <w:jc w:val="center"/>
        <w:rPr>
          <w:rFonts w:ascii="Times New Roman" w:hAnsi="Times New Roman"/>
          <w:sz w:val="24"/>
        </w:rPr>
      </w:pPr>
      <w:r>
        <w:rPr>
          <w:rStyle w:val="CommentReference"/>
        </w:rPr>
        <w:lastRenderedPageBreak/>
        <w:commentReference w:id="0"/>
      </w:r>
    </w:p>
    <w:p w:rsidR="00CA0A44" w:rsidRDefault="00CA0A44" w:rsidP="00CA0A44">
      <w:pPr>
        <w:pStyle w:val="ListParagraph"/>
        <w:numPr>
          <w:ilvl w:val="0"/>
          <w:numId w:val="1"/>
        </w:numPr>
        <w:spacing w:line="480" w:lineRule="auto"/>
        <w:rPr>
          <w:rFonts w:ascii="Times New Roman" w:hAnsi="Times New Roman"/>
          <w:sz w:val="24"/>
        </w:rPr>
      </w:pPr>
      <w:proofErr w:type="spellStart"/>
      <w:r>
        <w:rPr>
          <w:rFonts w:ascii="Times New Roman" w:hAnsi="Times New Roman"/>
          <w:sz w:val="24"/>
        </w:rPr>
        <w:t>Comorbidity</w:t>
      </w:r>
      <w:proofErr w:type="spellEnd"/>
      <w:r>
        <w:rPr>
          <w:rFonts w:ascii="Times New Roman" w:hAnsi="Times New Roman"/>
          <w:sz w:val="24"/>
        </w:rPr>
        <w:t xml:space="preserve">, frailty, and disability are all overlapping terms. Frailty is changes in the physiological state of a person. When an older adult experiences frailty, their body has an inability to maintain homeostasis. </w:t>
      </w:r>
      <w:r w:rsidR="006C1E42">
        <w:rPr>
          <w:rFonts w:ascii="Times New Roman" w:hAnsi="Times New Roman"/>
          <w:sz w:val="24"/>
        </w:rPr>
        <w:t xml:space="preserve">This affects different systems, not just one. </w:t>
      </w:r>
      <w:proofErr w:type="spellStart"/>
      <w:r>
        <w:rPr>
          <w:rFonts w:ascii="Times New Roman" w:hAnsi="Times New Roman"/>
          <w:sz w:val="24"/>
        </w:rPr>
        <w:t>Comorbidity</w:t>
      </w:r>
      <w:proofErr w:type="spellEnd"/>
      <w:r>
        <w:rPr>
          <w:rFonts w:ascii="Times New Roman" w:hAnsi="Times New Roman"/>
          <w:sz w:val="24"/>
        </w:rPr>
        <w:t xml:space="preserve"> means that there are two different and distinct disease processes going on in one individual. Disability is characterized by the inability to carry out or complete activities of daily living. Disability can occur in many systems or just one</w:t>
      </w:r>
      <w:r w:rsidR="006C1E42">
        <w:rPr>
          <w:rFonts w:ascii="Times New Roman" w:hAnsi="Times New Roman"/>
          <w:sz w:val="24"/>
        </w:rPr>
        <w:t xml:space="preserve"> (</w:t>
      </w:r>
      <w:proofErr w:type="spellStart"/>
      <w:r w:rsidR="006C1E42">
        <w:rPr>
          <w:rFonts w:ascii="Times New Roman" w:hAnsi="Times New Roman"/>
          <w:sz w:val="24"/>
        </w:rPr>
        <w:t>Benefield</w:t>
      </w:r>
      <w:proofErr w:type="spellEnd"/>
      <w:r w:rsidR="006B1A18">
        <w:rPr>
          <w:rFonts w:ascii="Times New Roman" w:hAnsi="Times New Roman"/>
          <w:color w:val="FF0000"/>
          <w:sz w:val="24"/>
        </w:rPr>
        <w:t>,</w:t>
      </w:r>
      <w:r w:rsidR="006C1E42">
        <w:rPr>
          <w:rFonts w:ascii="Times New Roman" w:hAnsi="Times New Roman"/>
          <w:sz w:val="24"/>
        </w:rPr>
        <w:t xml:space="preserve"> &amp; </w:t>
      </w:r>
      <w:proofErr w:type="spellStart"/>
      <w:r w:rsidR="006C1E42">
        <w:rPr>
          <w:rFonts w:ascii="Times New Roman" w:hAnsi="Times New Roman"/>
          <w:sz w:val="24"/>
        </w:rPr>
        <w:t>Higbee</w:t>
      </w:r>
      <w:proofErr w:type="spellEnd"/>
      <w:r w:rsidR="006C1E42">
        <w:rPr>
          <w:rFonts w:ascii="Times New Roman" w:hAnsi="Times New Roman"/>
          <w:sz w:val="24"/>
        </w:rPr>
        <w:t xml:space="preserve">, 2007). </w:t>
      </w:r>
    </w:p>
    <w:p w:rsidR="006C1E42" w:rsidRDefault="006C1E42" w:rsidP="006C1E42">
      <w:pPr>
        <w:pStyle w:val="ListParagraph"/>
        <w:numPr>
          <w:ilvl w:val="0"/>
          <w:numId w:val="1"/>
        </w:numPr>
        <w:spacing w:line="480" w:lineRule="auto"/>
        <w:rPr>
          <w:rFonts w:ascii="Times New Roman" w:hAnsi="Times New Roman"/>
          <w:sz w:val="24"/>
        </w:rPr>
      </w:pPr>
      <w:r>
        <w:rPr>
          <w:rFonts w:ascii="Times New Roman" w:hAnsi="Times New Roman"/>
          <w:sz w:val="24"/>
        </w:rPr>
        <w:t>A syndrome is a group of symptoms that are characteristic of one disease (</w:t>
      </w:r>
      <w:proofErr w:type="spellStart"/>
      <w:r>
        <w:rPr>
          <w:rFonts w:ascii="Times New Roman" w:hAnsi="Times New Roman"/>
          <w:sz w:val="24"/>
        </w:rPr>
        <w:t>Porth</w:t>
      </w:r>
      <w:proofErr w:type="spellEnd"/>
      <w:r>
        <w:rPr>
          <w:rFonts w:ascii="Times New Roman" w:hAnsi="Times New Roman"/>
          <w:sz w:val="24"/>
        </w:rPr>
        <w:t>, 2011). This syndrome is characterized by reduced functional reserve. It is also involves reduced ability to regain homeostasis. Another characteristic is that it impairs multiple body systems. The patient experiences weakness and fatigue. Also the patient has a slow and unsteady gait (</w:t>
      </w:r>
      <w:proofErr w:type="spellStart"/>
      <w:r>
        <w:rPr>
          <w:rFonts w:ascii="Times New Roman" w:hAnsi="Times New Roman"/>
          <w:sz w:val="24"/>
        </w:rPr>
        <w:t>Benefield</w:t>
      </w:r>
      <w:proofErr w:type="spellEnd"/>
      <w:r w:rsidR="006B1A18">
        <w:rPr>
          <w:rFonts w:ascii="Times New Roman" w:hAnsi="Times New Roman"/>
          <w:color w:val="FF0000"/>
          <w:sz w:val="24"/>
        </w:rPr>
        <w:t>,</w:t>
      </w:r>
      <w:r>
        <w:rPr>
          <w:rFonts w:ascii="Times New Roman" w:hAnsi="Times New Roman"/>
          <w:sz w:val="24"/>
        </w:rPr>
        <w:t xml:space="preserve"> &amp; </w:t>
      </w:r>
      <w:proofErr w:type="spellStart"/>
      <w:r>
        <w:rPr>
          <w:rFonts w:ascii="Times New Roman" w:hAnsi="Times New Roman"/>
          <w:sz w:val="24"/>
        </w:rPr>
        <w:t>Higbee</w:t>
      </w:r>
      <w:proofErr w:type="spellEnd"/>
      <w:r>
        <w:rPr>
          <w:rFonts w:ascii="Times New Roman" w:hAnsi="Times New Roman"/>
          <w:sz w:val="24"/>
        </w:rPr>
        <w:t xml:space="preserve">, 2007). </w:t>
      </w:r>
    </w:p>
    <w:p w:rsidR="006C1E42" w:rsidRDefault="006C1E42" w:rsidP="006C1E42">
      <w:pPr>
        <w:pStyle w:val="ListParagraph"/>
        <w:numPr>
          <w:ilvl w:val="0"/>
          <w:numId w:val="1"/>
        </w:numPr>
        <w:spacing w:line="480" w:lineRule="auto"/>
        <w:rPr>
          <w:rFonts w:ascii="Times New Roman" w:hAnsi="Times New Roman"/>
          <w:sz w:val="24"/>
        </w:rPr>
      </w:pPr>
      <w:r>
        <w:rPr>
          <w:rFonts w:ascii="Times New Roman" w:hAnsi="Times New Roman"/>
          <w:sz w:val="24"/>
        </w:rPr>
        <w:t xml:space="preserve">When using the frailty screening tool, </w:t>
      </w:r>
      <w:r w:rsidR="00875F52">
        <w:rPr>
          <w:rFonts w:ascii="Times New Roman" w:hAnsi="Times New Roman"/>
          <w:sz w:val="24"/>
        </w:rPr>
        <w:t>Mrs. Gibson has a score of 4. She is experiencing exhaustion, lack of mobility, a decrease in strength, and a slow, unsteady gait. Since Mrs. Gibson is in the wheel chair, her gait must be impaired due to the lack of physical activity. Also, since there was no information provided about Mrs. Gibson’s height or weight, assessment of the shrinking criteria cannot be made (</w:t>
      </w:r>
      <w:proofErr w:type="spellStart"/>
      <w:r w:rsidR="00875F52">
        <w:rPr>
          <w:rFonts w:ascii="Times New Roman" w:hAnsi="Times New Roman"/>
          <w:sz w:val="24"/>
        </w:rPr>
        <w:t>Benefield</w:t>
      </w:r>
      <w:proofErr w:type="spellEnd"/>
      <w:r w:rsidR="006B1A18">
        <w:rPr>
          <w:rFonts w:ascii="Times New Roman" w:hAnsi="Times New Roman"/>
          <w:color w:val="FF0000"/>
          <w:sz w:val="24"/>
        </w:rPr>
        <w:t>,</w:t>
      </w:r>
      <w:r w:rsidR="00875F52">
        <w:rPr>
          <w:rFonts w:ascii="Times New Roman" w:hAnsi="Times New Roman"/>
          <w:sz w:val="24"/>
        </w:rPr>
        <w:t xml:space="preserve"> &amp; </w:t>
      </w:r>
      <w:proofErr w:type="spellStart"/>
      <w:r w:rsidR="00875F52">
        <w:rPr>
          <w:rFonts w:ascii="Times New Roman" w:hAnsi="Times New Roman"/>
          <w:sz w:val="24"/>
        </w:rPr>
        <w:t>Higbee</w:t>
      </w:r>
      <w:proofErr w:type="spellEnd"/>
      <w:r w:rsidR="00875F52">
        <w:rPr>
          <w:rFonts w:ascii="Times New Roman" w:hAnsi="Times New Roman"/>
          <w:sz w:val="24"/>
        </w:rPr>
        <w:t>, 2007).</w:t>
      </w:r>
    </w:p>
    <w:p w:rsidR="006B1A18" w:rsidRPr="006B1A18" w:rsidRDefault="006B1A18" w:rsidP="006B1A18">
      <w:pPr>
        <w:autoSpaceDE w:val="0"/>
        <w:autoSpaceDN w:val="0"/>
        <w:adjustRightInd w:val="0"/>
        <w:spacing w:after="0" w:line="240" w:lineRule="auto"/>
        <w:rPr>
          <w:rFonts w:ascii="ITCGaramondStd-Bk" w:hAnsi="ITCGaramondStd-Bk" w:cs="ITCGaramondStd-Bk"/>
          <w:color w:val="FF0000"/>
          <w:sz w:val="20"/>
          <w:szCs w:val="20"/>
        </w:rPr>
      </w:pPr>
      <w:r w:rsidRPr="006B1A18">
        <w:rPr>
          <w:rFonts w:ascii="Times New Roman" w:hAnsi="Times New Roman"/>
          <w:color w:val="FF0000"/>
          <w:sz w:val="24"/>
        </w:rPr>
        <w:t xml:space="preserve"> </w:t>
      </w:r>
      <w:r w:rsidRPr="006B1A18">
        <w:rPr>
          <w:rFonts w:ascii="ITCGaramondStd-Bk"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6B1A18" w:rsidRDefault="006B1A18" w:rsidP="006B1A18">
      <w:pPr>
        <w:autoSpaceDE w:val="0"/>
        <w:autoSpaceDN w:val="0"/>
        <w:adjustRightInd w:val="0"/>
        <w:spacing w:after="0" w:line="240" w:lineRule="auto"/>
        <w:rPr>
          <w:rFonts w:ascii="Times New Roman" w:hAnsi="Times New Roman"/>
          <w:sz w:val="24"/>
        </w:rPr>
      </w:pPr>
    </w:p>
    <w:p w:rsidR="00875F52" w:rsidRDefault="00875F52" w:rsidP="006C1E42">
      <w:pPr>
        <w:pStyle w:val="ListParagraph"/>
        <w:numPr>
          <w:ilvl w:val="0"/>
          <w:numId w:val="1"/>
        </w:numPr>
        <w:spacing w:line="480" w:lineRule="auto"/>
        <w:rPr>
          <w:rFonts w:ascii="Times New Roman" w:hAnsi="Times New Roman"/>
          <w:sz w:val="24"/>
        </w:rPr>
      </w:pPr>
      <w:r>
        <w:rPr>
          <w:rFonts w:ascii="Times New Roman" w:hAnsi="Times New Roman"/>
          <w:sz w:val="24"/>
        </w:rPr>
        <w:t>In primary frailty, there is no underlying cause. There has not been a pathological process that has caused the older adult to become frail. In secondary frailty, there is a disease process that has caused frailty syndrome (</w:t>
      </w:r>
      <w:proofErr w:type="spellStart"/>
      <w:r>
        <w:rPr>
          <w:rFonts w:ascii="Times New Roman" w:hAnsi="Times New Roman"/>
          <w:sz w:val="24"/>
        </w:rPr>
        <w:t>Benefield</w:t>
      </w:r>
      <w:proofErr w:type="spellEnd"/>
      <w:r w:rsidR="006B1A18">
        <w:rPr>
          <w:rFonts w:ascii="Times New Roman" w:hAnsi="Times New Roman"/>
          <w:color w:val="FF0000"/>
          <w:sz w:val="24"/>
        </w:rPr>
        <w:t>,</w:t>
      </w:r>
      <w:r>
        <w:rPr>
          <w:rFonts w:ascii="Times New Roman" w:hAnsi="Times New Roman"/>
          <w:sz w:val="24"/>
        </w:rPr>
        <w:t xml:space="preserve"> &amp; </w:t>
      </w:r>
      <w:proofErr w:type="spellStart"/>
      <w:r>
        <w:rPr>
          <w:rFonts w:ascii="Times New Roman" w:hAnsi="Times New Roman"/>
          <w:sz w:val="24"/>
        </w:rPr>
        <w:t>Higbee</w:t>
      </w:r>
      <w:proofErr w:type="spellEnd"/>
      <w:r>
        <w:rPr>
          <w:rFonts w:ascii="Times New Roman" w:hAnsi="Times New Roman"/>
          <w:sz w:val="24"/>
        </w:rPr>
        <w:t xml:space="preserve">, 2007). </w:t>
      </w:r>
    </w:p>
    <w:p w:rsidR="00875F52" w:rsidRPr="002349DB" w:rsidRDefault="003B201C" w:rsidP="006C1E42">
      <w:pPr>
        <w:pStyle w:val="ListParagraph"/>
        <w:numPr>
          <w:ilvl w:val="0"/>
          <w:numId w:val="1"/>
        </w:numPr>
        <w:spacing w:line="480" w:lineRule="auto"/>
        <w:rPr>
          <w:rFonts w:ascii="Times New Roman" w:hAnsi="Times New Roman"/>
          <w:sz w:val="24"/>
        </w:rPr>
      </w:pPr>
      <w:r>
        <w:rPr>
          <w:rFonts w:ascii="Times New Roman" w:hAnsi="Times New Roman"/>
          <w:sz w:val="24"/>
        </w:rPr>
        <w:lastRenderedPageBreak/>
        <w:t xml:space="preserve">There are six components that make up physiologic-based risk factors for the frailty. One is activated inflammation. A study done on activated inflammation causing frailty in the elderly found that adults in a chronic state of inflammatory up regulation are at a higher risk for frailty. Another component is altered immune system. The altered immune system in older adults can lead to activated inflammation. Anemia is also a common problem found in older adults. This is caused by activated inflammation. A frail adult’s endocrine system is impaired. The insulin-like growth factor and </w:t>
      </w:r>
      <w:proofErr w:type="spellStart"/>
      <w:r>
        <w:rPr>
          <w:rFonts w:ascii="AGaramond-Regular" w:hAnsi="AGaramond-Regular" w:cs="AGaramond-Regular"/>
        </w:rPr>
        <w:t>dehydroepiandrosterone</w:t>
      </w:r>
      <w:proofErr w:type="spellEnd"/>
      <w:r>
        <w:rPr>
          <w:rFonts w:ascii="AGaramond-Regular" w:hAnsi="AGaramond-Regular" w:cs="AGaramond-Regular"/>
        </w:rPr>
        <w:t xml:space="preserve"> sulfate are both decreased. When these hormones are decreased, lean muscle mass also decreases. Weight is also a risk factor. Underweight and overweight older adults have a higher incidence than those that are within normal limits</w:t>
      </w:r>
      <w:r w:rsidR="002349DB">
        <w:rPr>
          <w:rFonts w:ascii="AGaramond-Regular" w:hAnsi="AGaramond-Regular" w:cs="AGaramond-Regular"/>
        </w:rPr>
        <w:t xml:space="preserve"> due to their decreased levels of lean body mass. Age is also a risk factor. The changes that are associated with aging predispose an adult to frailty. Those that are in the 70-79 age range should start getting screenings (Espinoza</w:t>
      </w:r>
      <w:r w:rsidR="006B1A18">
        <w:rPr>
          <w:rFonts w:ascii="AGaramond-Regular" w:hAnsi="AGaramond-Regular" w:cs="AGaramond-Regular"/>
          <w:color w:val="FF0000"/>
        </w:rPr>
        <w:t>,</w:t>
      </w:r>
      <w:r w:rsidR="002349DB">
        <w:rPr>
          <w:rFonts w:ascii="AGaramond-Regular" w:hAnsi="AGaramond-Regular" w:cs="AGaramond-Regular"/>
        </w:rPr>
        <w:t xml:space="preserve"> &amp; Fried, 2007).</w:t>
      </w:r>
    </w:p>
    <w:p w:rsidR="00F56BF2" w:rsidRPr="00F56BF2" w:rsidRDefault="002349DB" w:rsidP="002349DB">
      <w:pPr>
        <w:pStyle w:val="ListParagraph"/>
        <w:numPr>
          <w:ilvl w:val="0"/>
          <w:numId w:val="1"/>
        </w:numPr>
        <w:spacing w:line="480" w:lineRule="auto"/>
        <w:rPr>
          <w:rFonts w:ascii="Times New Roman" w:hAnsi="Times New Roman"/>
          <w:sz w:val="24"/>
        </w:rPr>
      </w:pPr>
      <w:r>
        <w:rPr>
          <w:rFonts w:ascii="AGaramond-Regular" w:hAnsi="AGaramond-Regular" w:cs="AGaramond-Regular"/>
        </w:rPr>
        <w:t xml:space="preserve">There are also some </w:t>
      </w:r>
      <w:proofErr w:type="spellStart"/>
      <w:r>
        <w:rPr>
          <w:rFonts w:ascii="AGaramond-Regular" w:hAnsi="AGaramond-Regular" w:cs="AGaramond-Regular"/>
        </w:rPr>
        <w:t>sociodemographic</w:t>
      </w:r>
      <w:proofErr w:type="spellEnd"/>
      <w:r>
        <w:rPr>
          <w:rFonts w:ascii="AGaramond-Regular" w:hAnsi="AGaramond-Regular" w:cs="AGaramond-Regular"/>
        </w:rPr>
        <w:t xml:space="preserve"> and psychological risk factors associated with frailty. Females are more likely than males to be classified as frail. This is due to the fact that females commonly have less muscle mass than the males. Lower socioeconomic status also is a risk factor for frailty. Those that have low levels of education and/or low annual income have been shown to be more at risk for this syndrome. This article is not saying that a lower socioeconomic status causes frailty. It is the factors that go along with a lower economic status contribute to frailty. Those that have less </w:t>
      </w:r>
      <w:r w:rsidR="00F56BF2">
        <w:rPr>
          <w:rFonts w:ascii="AGaramond-Regular" w:hAnsi="AGaramond-Regular" w:cs="AGaramond-Regular"/>
        </w:rPr>
        <w:t>access</w:t>
      </w:r>
      <w:r>
        <w:rPr>
          <w:rFonts w:ascii="AGaramond-Regular" w:hAnsi="AGaramond-Regular" w:cs="AGaramond-Regular"/>
        </w:rPr>
        <w:t xml:space="preserve"> to health care do not get frailty screenings. Those that cannot afford to eat healthy or </w:t>
      </w:r>
      <w:r w:rsidR="00F56BF2">
        <w:rPr>
          <w:rFonts w:ascii="AGaramond-Regular" w:hAnsi="AGaramond-Regular" w:cs="AGaramond-Regular"/>
        </w:rPr>
        <w:t xml:space="preserve">exercise are more at risk to become frail than those with </w:t>
      </w:r>
      <w:r w:rsidR="00F56BF2" w:rsidRPr="006B1A18">
        <w:rPr>
          <w:rFonts w:ascii="AGaramond-Regular" w:hAnsi="AGaramond-Regular" w:cs="AGaramond-Regular"/>
          <w:color w:val="FF0000"/>
        </w:rPr>
        <w:t xml:space="preserve">goo </w:t>
      </w:r>
      <w:r w:rsidR="00F56BF2">
        <w:rPr>
          <w:rFonts w:ascii="AGaramond-Regular" w:hAnsi="AGaramond-Regular" w:cs="AGaramond-Regular"/>
        </w:rPr>
        <w:t>access to health care. Non-whites are more likely to have a lower socioeconomic status, meaning they are more susceptible to frailty. When an older adult is experiencing depression, he or she is less likely to engage in physical activity. The older adult with depression loses muscle mass when he or she does not participate in physical activity. Also, the depressed person’s appetite decreases, contributing to the loss of muscle mass (Espinoza</w:t>
      </w:r>
      <w:r w:rsidR="006B1A18">
        <w:rPr>
          <w:rFonts w:ascii="AGaramond-Regular" w:hAnsi="AGaramond-Regular" w:cs="AGaramond-Regular"/>
          <w:color w:val="FF0000"/>
        </w:rPr>
        <w:t>,</w:t>
      </w:r>
      <w:r w:rsidR="00F56BF2">
        <w:rPr>
          <w:rFonts w:ascii="AGaramond-Regular" w:hAnsi="AGaramond-Regular" w:cs="AGaramond-Regular"/>
        </w:rPr>
        <w:t xml:space="preserve"> &amp; Fried, 2007).</w:t>
      </w:r>
    </w:p>
    <w:p w:rsidR="002349DB" w:rsidRPr="006B1A18" w:rsidRDefault="00F56BF2" w:rsidP="002349DB">
      <w:pPr>
        <w:pStyle w:val="ListParagraph"/>
        <w:numPr>
          <w:ilvl w:val="0"/>
          <w:numId w:val="1"/>
        </w:numPr>
        <w:spacing w:line="480" w:lineRule="auto"/>
        <w:rPr>
          <w:rFonts w:ascii="Times New Roman" w:hAnsi="Times New Roman"/>
          <w:sz w:val="24"/>
        </w:rPr>
      </w:pPr>
      <w:r>
        <w:rPr>
          <w:rFonts w:ascii="AGaramond-Regular" w:hAnsi="AGaramond-Regular" w:cs="AGaramond-Regular"/>
        </w:rPr>
        <w:lastRenderedPageBreak/>
        <w:t xml:space="preserve">Some of these risk factors aren’t modifiable. For example, a woman can physically change her gender, but she cannot biologically change it to decrease her chances of becoming frail. Also, </w:t>
      </w:r>
      <w:r w:rsidR="00234F5D">
        <w:rPr>
          <w:rFonts w:ascii="AGaramond-Regular" w:hAnsi="AGaramond-Regular" w:cs="AGaramond-Regular"/>
        </w:rPr>
        <w:t>those with a lower socioeconomic status that are non-white cannot change their race (Espinoza</w:t>
      </w:r>
      <w:r w:rsidR="006B1A18">
        <w:rPr>
          <w:rFonts w:ascii="AGaramond-Regular" w:hAnsi="AGaramond-Regular" w:cs="AGaramond-Regular"/>
          <w:color w:val="FF0000"/>
        </w:rPr>
        <w:t>,</w:t>
      </w:r>
      <w:r w:rsidR="00234F5D">
        <w:rPr>
          <w:rFonts w:ascii="AGaramond-Regular" w:hAnsi="AGaramond-Regular" w:cs="AGaramond-Regular"/>
        </w:rPr>
        <w:t xml:space="preserve"> &amp; Fried, 2007). </w:t>
      </w:r>
    </w:p>
    <w:p w:rsidR="006B1A18" w:rsidRDefault="006B1A18" w:rsidP="006B1A18">
      <w:pPr>
        <w:pStyle w:val="ListParagraph"/>
        <w:spacing w:line="480" w:lineRule="auto"/>
        <w:rPr>
          <w:rFonts w:ascii="ITCGaramondStd-Bk" w:hAnsi="ITCGaramondStd-Bk" w:cs="ITCGaramondStd-Bk"/>
          <w:color w:val="FF0000"/>
          <w:sz w:val="20"/>
          <w:szCs w:val="20"/>
        </w:rPr>
      </w:pPr>
      <w:r>
        <w:rPr>
          <w:rFonts w:ascii="AGaramond-Regular" w:hAnsi="AGaramond-Regular" w:cs="AGaramond-Regular"/>
        </w:rPr>
        <w:t xml:space="preserve"> </w:t>
      </w:r>
      <w:proofErr w:type="gramStart"/>
      <w:r w:rsidRPr="006B1A18">
        <w:rPr>
          <w:rFonts w:ascii="ITCGaramondStd-Bk" w:hAnsi="ITCGaramondStd-Bk" w:cs="ITCGaramondStd-Bk"/>
          <w:color w:val="FF0000"/>
          <w:sz w:val="20"/>
          <w:szCs w:val="20"/>
        </w:rPr>
        <w:t>Gender, race, age, and socioeconomic status.</w:t>
      </w:r>
      <w:proofErr w:type="gramEnd"/>
    </w:p>
    <w:p w:rsidR="00234F5D" w:rsidRPr="00234F5D" w:rsidRDefault="00234F5D" w:rsidP="002349DB">
      <w:pPr>
        <w:pStyle w:val="ListParagraph"/>
        <w:numPr>
          <w:ilvl w:val="0"/>
          <w:numId w:val="1"/>
        </w:numPr>
        <w:spacing w:line="480" w:lineRule="auto"/>
        <w:rPr>
          <w:rFonts w:ascii="Times New Roman" w:hAnsi="Times New Roman"/>
          <w:sz w:val="24"/>
        </w:rPr>
      </w:pPr>
      <w:proofErr w:type="spellStart"/>
      <w:r>
        <w:rPr>
          <w:rFonts w:ascii="AGaramond-Regular" w:hAnsi="AGaramond-Regular" w:cs="AGaramond-Regular"/>
        </w:rPr>
        <w:t>Carotenoids</w:t>
      </w:r>
      <w:proofErr w:type="spellEnd"/>
      <w:r>
        <w:rPr>
          <w:rFonts w:ascii="AGaramond-Regular" w:hAnsi="AGaramond-Regular" w:cs="AGaramond-Regular"/>
        </w:rPr>
        <w:t xml:space="preserve">, vitamin D, </w:t>
      </w:r>
      <w:proofErr w:type="spellStart"/>
      <w:r>
        <w:rPr>
          <w:rFonts w:ascii="AGaramond-Regular" w:hAnsi="AGaramond-Regular" w:cs="AGaramond-Regular"/>
        </w:rPr>
        <w:t>creatine</w:t>
      </w:r>
      <w:proofErr w:type="spellEnd"/>
      <w:r>
        <w:rPr>
          <w:rFonts w:ascii="AGaramond-Regular" w:hAnsi="AGaramond-Regular" w:cs="AGaramond-Regular"/>
        </w:rPr>
        <w:t xml:space="preserve">, and </w:t>
      </w:r>
      <w:proofErr w:type="spellStart"/>
      <w:r>
        <w:rPr>
          <w:rFonts w:ascii="AGaramond-Regular" w:hAnsi="AGaramond-Regular" w:cs="AGaramond-Regular"/>
        </w:rPr>
        <w:t>dehydroepiandrosterone</w:t>
      </w:r>
      <w:proofErr w:type="spellEnd"/>
      <w:r>
        <w:rPr>
          <w:rFonts w:ascii="AGaramond-Regular" w:hAnsi="AGaramond-Regular" w:cs="AGaramond-Regular"/>
        </w:rPr>
        <w:t xml:space="preserve"> (DHEA) are all nutritional supplements that are used as alternative medicine when treating the frail (</w:t>
      </w:r>
      <w:proofErr w:type="spellStart"/>
      <w:r>
        <w:rPr>
          <w:rFonts w:ascii="AGaramond-Regular" w:hAnsi="AGaramond-Regular" w:cs="AGaramond-Regular"/>
        </w:rPr>
        <w:t>Cheniak</w:t>
      </w:r>
      <w:proofErr w:type="spellEnd"/>
      <w:r>
        <w:rPr>
          <w:rFonts w:ascii="AGaramond-Regular" w:hAnsi="AGaramond-Regular" w:cs="AGaramond-Regular"/>
        </w:rPr>
        <w:t xml:space="preserve">, </w:t>
      </w:r>
      <w:proofErr w:type="spellStart"/>
      <w:r>
        <w:rPr>
          <w:rFonts w:ascii="AGaramond-Regular" w:hAnsi="AGaramond-Regular" w:cs="AGaramond-Regular"/>
        </w:rPr>
        <w:t>Florez</w:t>
      </w:r>
      <w:proofErr w:type="spellEnd"/>
      <w:r w:rsidR="006B1A18">
        <w:rPr>
          <w:rFonts w:ascii="AGaramond-Regular" w:hAnsi="AGaramond-Regular" w:cs="AGaramond-Regular"/>
          <w:color w:val="FF0000"/>
        </w:rPr>
        <w:t>,</w:t>
      </w:r>
      <w:r>
        <w:rPr>
          <w:rFonts w:ascii="AGaramond-Regular" w:hAnsi="AGaramond-Regular" w:cs="AGaramond-Regular"/>
        </w:rPr>
        <w:t xml:space="preserve"> &amp; </w:t>
      </w:r>
      <w:proofErr w:type="spellStart"/>
      <w:r>
        <w:rPr>
          <w:rFonts w:ascii="AGaramond-Regular" w:hAnsi="AGaramond-Regular" w:cs="AGaramond-Regular"/>
        </w:rPr>
        <w:t>Troen</w:t>
      </w:r>
      <w:proofErr w:type="spellEnd"/>
      <w:r>
        <w:rPr>
          <w:rFonts w:ascii="AGaramond-Regular" w:hAnsi="AGaramond-Regular" w:cs="AGaramond-Regular"/>
        </w:rPr>
        <w:t>, 2007).</w:t>
      </w:r>
    </w:p>
    <w:p w:rsidR="00234F5D" w:rsidRPr="00734FD3" w:rsidRDefault="007419B4" w:rsidP="002349DB">
      <w:pPr>
        <w:pStyle w:val="ListParagraph"/>
        <w:numPr>
          <w:ilvl w:val="0"/>
          <w:numId w:val="1"/>
        </w:numPr>
        <w:spacing w:line="480" w:lineRule="auto"/>
        <w:rPr>
          <w:rFonts w:ascii="Times New Roman" w:hAnsi="Times New Roman"/>
          <w:sz w:val="24"/>
        </w:rPr>
      </w:pPr>
      <w:r>
        <w:rPr>
          <w:rFonts w:ascii="AGaramond-Regular" w:hAnsi="AGaramond-Regular" w:cs="AGaramond-Regular"/>
        </w:rPr>
        <w:t>Some researchers</w:t>
      </w:r>
      <w:r w:rsidR="00734FD3">
        <w:rPr>
          <w:rFonts w:ascii="AGaramond-Regular" w:hAnsi="AGaramond-Regular" w:cs="AGaramond-Regular"/>
        </w:rPr>
        <w:t xml:space="preserve"> suggest that tai chi may also help the older adults with frailty. Tai chi addresses the frail individual’s weakness, slow movements, and low physical activity. Some also believe that the increased flexibility may also prevent falls. Tai chi improves balance. The improved balance helps with the movement speed and the fall risk. The older frail adults that were tested in the different experiments had an increased strength, flexibility, and movement speed. This did not cure the frailty syndrome, but it did make the symptoms more livable. Also, tai chi improves the mood of the depressed patient. Since depression is a risk factor for frailty, these individuals will benefit greatly (</w:t>
      </w:r>
      <w:proofErr w:type="spellStart"/>
      <w:r w:rsidR="00734FD3">
        <w:rPr>
          <w:rFonts w:ascii="AGaramond-Regular" w:hAnsi="AGaramond-Regular" w:cs="AGaramond-Regular"/>
        </w:rPr>
        <w:t>Cheniak</w:t>
      </w:r>
      <w:proofErr w:type="spellEnd"/>
      <w:r w:rsidR="00734FD3">
        <w:rPr>
          <w:rFonts w:ascii="AGaramond-Regular" w:hAnsi="AGaramond-Regular" w:cs="AGaramond-Regular"/>
        </w:rPr>
        <w:t xml:space="preserve">, </w:t>
      </w:r>
      <w:proofErr w:type="spellStart"/>
      <w:r w:rsidR="00734FD3">
        <w:rPr>
          <w:rFonts w:ascii="AGaramond-Regular" w:hAnsi="AGaramond-Regular" w:cs="AGaramond-Regular"/>
        </w:rPr>
        <w:t>Florez</w:t>
      </w:r>
      <w:proofErr w:type="spellEnd"/>
      <w:proofErr w:type="gramStart"/>
      <w:r w:rsidR="006B1A18">
        <w:rPr>
          <w:rFonts w:ascii="AGaramond-Regular" w:hAnsi="AGaramond-Regular" w:cs="AGaramond-Regular"/>
          <w:color w:val="FF0000"/>
        </w:rPr>
        <w:t>,</w:t>
      </w:r>
      <w:r w:rsidR="00734FD3">
        <w:rPr>
          <w:rFonts w:ascii="AGaramond-Regular" w:hAnsi="AGaramond-Regular" w:cs="AGaramond-Regular"/>
        </w:rPr>
        <w:t>,</w:t>
      </w:r>
      <w:proofErr w:type="gramEnd"/>
      <w:r w:rsidR="00734FD3">
        <w:rPr>
          <w:rFonts w:ascii="AGaramond-Regular" w:hAnsi="AGaramond-Regular" w:cs="AGaramond-Regular"/>
        </w:rPr>
        <w:t xml:space="preserve"> &amp; </w:t>
      </w:r>
      <w:proofErr w:type="spellStart"/>
      <w:r w:rsidR="00734FD3">
        <w:rPr>
          <w:rFonts w:ascii="AGaramond-Regular" w:hAnsi="AGaramond-Regular" w:cs="AGaramond-Regular"/>
        </w:rPr>
        <w:t>Troen</w:t>
      </w:r>
      <w:proofErr w:type="spellEnd"/>
      <w:r w:rsidR="00734FD3">
        <w:rPr>
          <w:rFonts w:ascii="AGaramond-Regular" w:hAnsi="AGaramond-Regular" w:cs="AGaramond-Regular"/>
        </w:rPr>
        <w:t xml:space="preserve">, 2007). </w:t>
      </w:r>
    </w:p>
    <w:p w:rsidR="00734FD3" w:rsidRPr="00F867FF" w:rsidRDefault="00F867FF" w:rsidP="002349DB">
      <w:pPr>
        <w:pStyle w:val="ListParagraph"/>
        <w:numPr>
          <w:ilvl w:val="0"/>
          <w:numId w:val="1"/>
        </w:numPr>
        <w:spacing w:line="480" w:lineRule="auto"/>
        <w:rPr>
          <w:rFonts w:ascii="Times New Roman" w:hAnsi="Times New Roman"/>
          <w:sz w:val="24"/>
        </w:rPr>
      </w:pPr>
      <w:r>
        <w:rPr>
          <w:rFonts w:ascii="AGaramond-Regular" w:hAnsi="AGaramond-Regular" w:cs="AGaramond-Regular"/>
        </w:rPr>
        <w:t xml:space="preserve"> There are environmental changes that the nurse can implement to benefit the frail. One example would be grab bars in the shower to prevent falls. Also, the frail patient should have walk in showers with shower seats. The nurse should encourage the patient to put in wide doorways and to adjust cabinets and drawers to appropriate heights to prevent muscle straining. They should also use contrasting colors on the floor, counters, walls, and dishes. The surfaces should be non-skid and there should also be ramps put in place instead of stairs. There should be proper lighting and an emergency call system (</w:t>
      </w:r>
      <w:proofErr w:type="spellStart"/>
      <w:r>
        <w:rPr>
          <w:rFonts w:ascii="AGaramond-Regular" w:hAnsi="AGaramond-Regular" w:cs="AGaramond-Regular"/>
        </w:rPr>
        <w:t>Benefield</w:t>
      </w:r>
      <w:proofErr w:type="spellEnd"/>
      <w:r w:rsidR="006B1A18">
        <w:rPr>
          <w:rFonts w:ascii="AGaramond-Regular" w:hAnsi="AGaramond-Regular" w:cs="AGaramond-Regular"/>
          <w:color w:val="FF0000"/>
        </w:rPr>
        <w:t>,</w:t>
      </w:r>
      <w:r>
        <w:rPr>
          <w:rFonts w:ascii="AGaramond-Regular" w:hAnsi="AGaramond-Regular" w:cs="AGaramond-Regular"/>
        </w:rPr>
        <w:t xml:space="preserve"> &amp; </w:t>
      </w:r>
      <w:proofErr w:type="spellStart"/>
      <w:r>
        <w:rPr>
          <w:rFonts w:ascii="AGaramond-Regular" w:hAnsi="AGaramond-Regular" w:cs="AGaramond-Regular"/>
        </w:rPr>
        <w:t>Higbee</w:t>
      </w:r>
      <w:proofErr w:type="spellEnd"/>
      <w:r>
        <w:rPr>
          <w:rFonts w:ascii="AGaramond-Regular" w:hAnsi="AGaramond-Regular" w:cs="AGaramond-Regular"/>
        </w:rPr>
        <w:t>, 2007).</w:t>
      </w:r>
    </w:p>
    <w:p w:rsidR="00F867FF" w:rsidRDefault="00F867FF" w:rsidP="00F867FF">
      <w:pPr>
        <w:pStyle w:val="ListParagraph"/>
        <w:spacing w:line="480" w:lineRule="auto"/>
        <w:rPr>
          <w:rFonts w:ascii="AGaramond-Regular" w:hAnsi="AGaramond-Regular" w:cs="AGaramond-Regular"/>
        </w:rPr>
      </w:pPr>
    </w:p>
    <w:p w:rsidR="00F867FF" w:rsidRDefault="00F867FF" w:rsidP="00F867FF">
      <w:pPr>
        <w:pStyle w:val="ListParagraph"/>
        <w:spacing w:line="480" w:lineRule="auto"/>
        <w:rPr>
          <w:rFonts w:ascii="AGaramond-Regular" w:hAnsi="AGaramond-Regular" w:cs="AGaramond-Regular"/>
        </w:rPr>
      </w:pPr>
    </w:p>
    <w:p w:rsidR="00F867FF" w:rsidRDefault="00F867FF" w:rsidP="00F867FF">
      <w:pPr>
        <w:pStyle w:val="ListParagraph"/>
        <w:spacing w:line="480" w:lineRule="auto"/>
        <w:rPr>
          <w:rFonts w:ascii="AGaramond-Regular" w:hAnsi="AGaramond-Regular" w:cs="AGaramond-Regular"/>
        </w:rPr>
      </w:pPr>
    </w:p>
    <w:p w:rsidR="00F867FF" w:rsidRDefault="00F867FF" w:rsidP="00F867FF">
      <w:pPr>
        <w:pStyle w:val="ListParagraph"/>
        <w:spacing w:line="480" w:lineRule="auto"/>
        <w:rPr>
          <w:rFonts w:ascii="AGaramond-Regular" w:hAnsi="AGaramond-Regular" w:cs="AGaramond-Regular"/>
        </w:rPr>
      </w:pPr>
    </w:p>
    <w:p w:rsidR="00F867FF" w:rsidRDefault="00F867FF" w:rsidP="00F867FF">
      <w:pPr>
        <w:pStyle w:val="ListParagraph"/>
        <w:spacing w:line="480" w:lineRule="auto"/>
        <w:rPr>
          <w:rFonts w:ascii="AGaramond-Regular" w:hAnsi="AGaramond-Regular" w:cs="AGaramond-Regular"/>
        </w:rPr>
      </w:pPr>
    </w:p>
    <w:p w:rsidR="00F867FF" w:rsidRDefault="00F867FF" w:rsidP="00F867FF">
      <w:pPr>
        <w:pStyle w:val="ListParagraph"/>
        <w:spacing w:line="480" w:lineRule="auto"/>
        <w:rPr>
          <w:rFonts w:ascii="AGaramond-Regular" w:hAnsi="AGaramond-Regular" w:cs="AGaramond-Regular"/>
        </w:rPr>
      </w:pPr>
    </w:p>
    <w:sdt>
      <w:sdtPr>
        <w:rPr>
          <w:rFonts w:asciiTheme="minorHAnsi" w:eastAsiaTheme="minorHAnsi" w:hAnsiTheme="minorHAnsi" w:cstheme="minorBidi"/>
          <w:b w:val="0"/>
          <w:bCs w:val="0"/>
          <w:color w:val="auto"/>
          <w:sz w:val="22"/>
          <w:szCs w:val="22"/>
          <w:lang w:bidi="ar-SA"/>
        </w:rPr>
        <w:id w:val="6802712"/>
        <w:docPartObj>
          <w:docPartGallery w:val="Bibliographies"/>
          <w:docPartUnique/>
        </w:docPartObj>
      </w:sdtPr>
      <w:sdtContent>
        <w:commentRangeStart w:id="1" w:displacedByCustomXml="prev"/>
        <w:p w:rsidR="00F867FF" w:rsidRDefault="00F867FF">
          <w:pPr>
            <w:pStyle w:val="Heading1"/>
          </w:pPr>
          <w:r>
            <w:t>Bibliography</w:t>
          </w:r>
          <w:commentRangeEnd w:id="1"/>
          <w:r w:rsidR="006B1A18">
            <w:rPr>
              <w:rStyle w:val="CommentReference"/>
              <w:rFonts w:asciiTheme="minorHAnsi" w:eastAsiaTheme="minorHAnsi" w:hAnsiTheme="minorHAnsi" w:cstheme="minorBidi"/>
              <w:b w:val="0"/>
              <w:bCs w:val="0"/>
              <w:color w:val="auto"/>
              <w:lang w:bidi="ar-SA"/>
            </w:rPr>
            <w:commentReference w:id="1"/>
          </w:r>
        </w:p>
        <w:sdt>
          <w:sdtPr>
            <w:id w:val="111145805"/>
            <w:bibliography/>
          </w:sdtPr>
          <w:sdtContent>
            <w:p w:rsidR="00F867FF" w:rsidRDefault="007778A1" w:rsidP="00F867FF">
              <w:pPr>
                <w:pStyle w:val="Bibliography"/>
                <w:ind w:left="720" w:hanging="720"/>
                <w:rPr>
                  <w:noProof/>
                </w:rPr>
              </w:pPr>
              <w:r>
                <w:fldChar w:fldCharType="begin"/>
              </w:r>
              <w:r w:rsidR="00F867FF">
                <w:instrText xml:space="preserve"> BIBLIOGRAPHY </w:instrText>
              </w:r>
              <w:r>
                <w:fldChar w:fldCharType="separate"/>
              </w:r>
              <w:r w:rsidR="00F867FF">
                <w:rPr>
                  <w:noProof/>
                </w:rPr>
                <w:t xml:space="preserve">Porth, C. (2011). </w:t>
              </w:r>
              <w:r w:rsidR="00F867FF">
                <w:rPr>
                  <w:i/>
                  <w:iCs/>
                  <w:noProof/>
                </w:rPr>
                <w:t>Essentials of Pathophysiology.</w:t>
              </w:r>
              <w:r w:rsidR="00F867FF">
                <w:rPr>
                  <w:noProof/>
                </w:rPr>
                <w:t xml:space="preserve"> Philadelphia : Lipincott Williams &amp; Wilkins.</w:t>
              </w:r>
            </w:p>
            <w:p w:rsidR="00F867FF" w:rsidRDefault="007778A1" w:rsidP="00F867FF">
              <w:r>
                <w:fldChar w:fldCharType="end"/>
              </w:r>
            </w:p>
          </w:sdtContent>
        </w:sdt>
      </w:sdtContent>
    </w:sdt>
    <w:sdt>
      <w:sdtPr>
        <w:rPr>
          <w:rFonts w:asciiTheme="minorHAnsi" w:eastAsiaTheme="minorHAnsi" w:hAnsiTheme="minorHAnsi" w:cstheme="minorBidi"/>
          <w:b w:val="0"/>
          <w:bCs w:val="0"/>
          <w:color w:val="auto"/>
          <w:sz w:val="22"/>
          <w:szCs w:val="22"/>
          <w:lang w:bidi="ar-SA"/>
        </w:rPr>
        <w:id w:val="6802714"/>
        <w:docPartObj>
          <w:docPartGallery w:val="Bibliographies"/>
          <w:docPartUnique/>
        </w:docPartObj>
      </w:sdtPr>
      <w:sdtContent>
        <w:p w:rsidR="00F867FF" w:rsidRPr="00F867FF" w:rsidRDefault="00F867FF" w:rsidP="006B1A18">
          <w:pPr>
            <w:pStyle w:val="Heading1"/>
            <w:rPr>
              <w:rFonts w:ascii="Times New Roman" w:hAnsi="Times New Roman" w:cs="Times New Roman"/>
              <w:b w:val="0"/>
              <w:color w:val="auto"/>
              <w:sz w:val="24"/>
              <w:szCs w:val="24"/>
            </w:rPr>
          </w:pPr>
        </w:p>
        <w:p w:rsidR="00F867FF" w:rsidRDefault="00F867FF" w:rsidP="00F867FF">
          <w:pPr>
            <w:rPr>
              <w:lang w:bidi="en-US"/>
            </w:rPr>
          </w:pPr>
        </w:p>
        <w:p w:rsidR="00F867FF" w:rsidRPr="00293676" w:rsidRDefault="00F867FF" w:rsidP="00293676">
          <w:pPr>
            <w:spacing w:line="480" w:lineRule="auto"/>
            <w:ind w:left="720" w:hanging="720"/>
            <w:rPr>
              <w:rFonts w:ascii="Times New Roman" w:hAnsi="Times New Roman" w:cs="Times New Roman"/>
              <w:sz w:val="24"/>
              <w:szCs w:val="24"/>
              <w:lang w:bidi="en-US"/>
            </w:rPr>
          </w:pPr>
          <w:proofErr w:type="spellStart"/>
          <w:r w:rsidRPr="00293676">
            <w:rPr>
              <w:rFonts w:ascii="Times New Roman" w:hAnsi="Times New Roman" w:cs="Times New Roman"/>
              <w:sz w:val="24"/>
              <w:szCs w:val="24"/>
              <w:lang w:bidi="en-US"/>
            </w:rPr>
            <w:t>Bartali</w:t>
          </w:r>
          <w:proofErr w:type="spellEnd"/>
          <w:r w:rsidRPr="00293676">
            <w:rPr>
              <w:rFonts w:ascii="Times New Roman" w:hAnsi="Times New Roman" w:cs="Times New Roman"/>
              <w:sz w:val="24"/>
              <w:szCs w:val="24"/>
              <w:lang w:bidi="en-US"/>
            </w:rPr>
            <w:t xml:space="preserve">, B., </w:t>
          </w:r>
          <w:proofErr w:type="spellStart"/>
          <w:r w:rsidRPr="00293676">
            <w:rPr>
              <w:rFonts w:ascii="Times New Roman" w:hAnsi="Times New Roman" w:cs="Times New Roman"/>
              <w:sz w:val="24"/>
              <w:szCs w:val="24"/>
              <w:lang w:bidi="en-US"/>
            </w:rPr>
            <w:t>Frongillo</w:t>
          </w:r>
          <w:proofErr w:type="spellEnd"/>
          <w:r w:rsidRPr="00293676">
            <w:rPr>
              <w:rFonts w:ascii="Times New Roman" w:hAnsi="Times New Roman" w:cs="Times New Roman"/>
              <w:sz w:val="24"/>
              <w:szCs w:val="24"/>
              <w:lang w:bidi="en-US"/>
            </w:rPr>
            <w:t xml:space="preserve">, E. A., </w:t>
          </w:r>
          <w:proofErr w:type="spellStart"/>
          <w:r w:rsidRPr="00293676">
            <w:rPr>
              <w:rFonts w:ascii="Times New Roman" w:hAnsi="Times New Roman" w:cs="Times New Roman"/>
              <w:sz w:val="24"/>
              <w:szCs w:val="24"/>
              <w:lang w:bidi="en-US"/>
            </w:rPr>
            <w:t>Bandeinelli</w:t>
          </w:r>
          <w:proofErr w:type="spellEnd"/>
          <w:r w:rsidRPr="00293676">
            <w:rPr>
              <w:rFonts w:ascii="Times New Roman" w:hAnsi="Times New Roman" w:cs="Times New Roman"/>
              <w:sz w:val="24"/>
              <w:szCs w:val="24"/>
              <w:lang w:bidi="en-US"/>
            </w:rPr>
            <w:t xml:space="preserve">, S., </w:t>
          </w:r>
          <w:proofErr w:type="spellStart"/>
          <w:r w:rsidRPr="00293676">
            <w:rPr>
              <w:rFonts w:ascii="Times New Roman" w:hAnsi="Times New Roman" w:cs="Times New Roman"/>
              <w:sz w:val="24"/>
              <w:szCs w:val="24"/>
              <w:lang w:bidi="en-US"/>
            </w:rPr>
            <w:t>Larentani</w:t>
          </w:r>
          <w:proofErr w:type="spellEnd"/>
          <w:r w:rsidRPr="00293676">
            <w:rPr>
              <w:rFonts w:ascii="Times New Roman" w:hAnsi="Times New Roman" w:cs="Times New Roman"/>
              <w:sz w:val="24"/>
              <w:szCs w:val="24"/>
              <w:lang w:bidi="en-US"/>
            </w:rPr>
            <w:t xml:space="preserve">, F., </w:t>
          </w:r>
          <w:proofErr w:type="spellStart"/>
          <w:r w:rsidRPr="00293676">
            <w:rPr>
              <w:rFonts w:ascii="Times New Roman" w:hAnsi="Times New Roman" w:cs="Times New Roman"/>
              <w:sz w:val="24"/>
              <w:szCs w:val="24"/>
              <w:lang w:bidi="en-US"/>
            </w:rPr>
            <w:t>Semba</w:t>
          </w:r>
          <w:proofErr w:type="spellEnd"/>
          <w:r w:rsidRPr="00293676">
            <w:rPr>
              <w:rFonts w:ascii="Times New Roman" w:hAnsi="Times New Roman" w:cs="Times New Roman"/>
              <w:sz w:val="24"/>
              <w:szCs w:val="24"/>
              <w:lang w:bidi="en-US"/>
            </w:rPr>
            <w:t xml:space="preserve">, R.D., </w:t>
          </w:r>
          <w:commentRangeStart w:id="2"/>
          <w:r w:rsidRPr="00293676">
            <w:rPr>
              <w:rFonts w:ascii="Times New Roman" w:hAnsi="Times New Roman" w:cs="Times New Roman"/>
              <w:sz w:val="24"/>
              <w:szCs w:val="24"/>
              <w:lang w:bidi="en-US"/>
            </w:rPr>
            <w:t>fried</w:t>
          </w:r>
          <w:commentRangeEnd w:id="2"/>
          <w:r w:rsidR="007F39C9">
            <w:rPr>
              <w:rStyle w:val="CommentReference"/>
            </w:rPr>
            <w:commentReference w:id="2"/>
          </w:r>
          <w:r w:rsidRPr="00293676">
            <w:rPr>
              <w:rFonts w:ascii="Times New Roman" w:hAnsi="Times New Roman" w:cs="Times New Roman"/>
              <w:sz w:val="24"/>
              <w:szCs w:val="24"/>
              <w:lang w:bidi="en-US"/>
            </w:rPr>
            <w:t xml:space="preserve">, L. P., et </w:t>
          </w:r>
          <w:commentRangeStart w:id="3"/>
          <w:r w:rsidRPr="00293676">
            <w:rPr>
              <w:rFonts w:ascii="Times New Roman" w:hAnsi="Times New Roman" w:cs="Times New Roman"/>
              <w:sz w:val="24"/>
              <w:szCs w:val="24"/>
              <w:lang w:bidi="en-US"/>
            </w:rPr>
            <w:t>al</w:t>
          </w:r>
          <w:commentRangeEnd w:id="3"/>
          <w:r w:rsidR="007F39C9">
            <w:rPr>
              <w:rStyle w:val="CommentReference"/>
            </w:rPr>
            <w:commentReference w:id="3"/>
          </w:r>
          <w:r w:rsidRPr="00293676">
            <w:rPr>
              <w:rFonts w:ascii="Times New Roman" w:hAnsi="Times New Roman" w:cs="Times New Roman"/>
              <w:sz w:val="24"/>
              <w:szCs w:val="24"/>
              <w:lang w:bidi="en-US"/>
            </w:rPr>
            <w:t xml:space="preserve"> (2006).Low nutrient intake is an essential component of frailty in older persons. </w:t>
          </w:r>
          <w:r w:rsidRPr="00293676">
            <w:rPr>
              <w:rFonts w:ascii="Times New Roman" w:hAnsi="Times New Roman" w:cs="Times New Roman"/>
              <w:i/>
              <w:sz w:val="24"/>
              <w:szCs w:val="24"/>
              <w:lang w:bidi="en-US"/>
            </w:rPr>
            <w:t>Journals of Gerontology Series A-Biological Sciences &amp; Medical Sciences</w:t>
          </w:r>
          <w:r w:rsidRPr="00293676">
            <w:rPr>
              <w:rFonts w:ascii="Times New Roman" w:hAnsi="Times New Roman" w:cs="Times New Roman"/>
              <w:sz w:val="24"/>
              <w:szCs w:val="24"/>
              <w:lang w:bidi="en-US"/>
            </w:rPr>
            <w:t xml:space="preserve">, </w:t>
          </w:r>
          <w:commentRangeStart w:id="4"/>
          <w:r w:rsidRPr="00293676">
            <w:rPr>
              <w:rFonts w:ascii="Times New Roman" w:hAnsi="Times New Roman" w:cs="Times New Roman"/>
              <w:sz w:val="24"/>
              <w:szCs w:val="24"/>
              <w:lang w:bidi="en-US"/>
            </w:rPr>
            <w:t>61</w:t>
          </w:r>
          <w:commentRangeEnd w:id="4"/>
          <w:r w:rsidR="007F39C9">
            <w:rPr>
              <w:rStyle w:val="CommentReference"/>
            </w:rPr>
            <w:commentReference w:id="4"/>
          </w:r>
          <w:r w:rsidRPr="00293676">
            <w:rPr>
              <w:rFonts w:ascii="Times New Roman" w:hAnsi="Times New Roman" w:cs="Times New Roman"/>
              <w:sz w:val="24"/>
              <w:szCs w:val="24"/>
              <w:lang w:bidi="en-US"/>
            </w:rPr>
            <w:t xml:space="preserve"> (6), 589-593.</w:t>
          </w:r>
        </w:p>
        <w:p w:rsidR="00F867FF" w:rsidRPr="00293676" w:rsidRDefault="00F867FF" w:rsidP="00293676">
          <w:pPr>
            <w:spacing w:line="480" w:lineRule="auto"/>
            <w:ind w:left="720" w:hanging="720"/>
            <w:rPr>
              <w:rFonts w:ascii="Times New Roman" w:hAnsi="Times New Roman" w:cs="Times New Roman"/>
              <w:sz w:val="24"/>
              <w:szCs w:val="24"/>
              <w:lang w:bidi="en-US"/>
            </w:rPr>
          </w:pPr>
          <w:proofErr w:type="spellStart"/>
          <w:proofErr w:type="gramStart"/>
          <w:r w:rsidRPr="00293676">
            <w:rPr>
              <w:rFonts w:ascii="Times New Roman" w:hAnsi="Times New Roman" w:cs="Times New Roman"/>
              <w:sz w:val="24"/>
              <w:szCs w:val="24"/>
              <w:lang w:bidi="en-US"/>
            </w:rPr>
            <w:t>Benefield</w:t>
          </w:r>
          <w:proofErr w:type="spellEnd"/>
          <w:r w:rsidRPr="00293676">
            <w:rPr>
              <w:rFonts w:ascii="Times New Roman" w:hAnsi="Times New Roman" w:cs="Times New Roman"/>
              <w:sz w:val="24"/>
              <w:szCs w:val="24"/>
              <w:lang w:bidi="en-US"/>
            </w:rPr>
            <w:t xml:space="preserve">, L. E., &amp; </w:t>
          </w:r>
          <w:proofErr w:type="spellStart"/>
          <w:r w:rsidRPr="00293676">
            <w:rPr>
              <w:rFonts w:ascii="Times New Roman" w:hAnsi="Times New Roman" w:cs="Times New Roman"/>
              <w:sz w:val="24"/>
              <w:szCs w:val="24"/>
              <w:lang w:bidi="en-US"/>
            </w:rPr>
            <w:t>Higbee</w:t>
          </w:r>
          <w:proofErr w:type="spellEnd"/>
          <w:r w:rsidRPr="00293676">
            <w:rPr>
              <w:rFonts w:ascii="Times New Roman" w:hAnsi="Times New Roman" w:cs="Times New Roman"/>
              <w:sz w:val="24"/>
              <w:szCs w:val="24"/>
              <w:lang w:bidi="en-US"/>
            </w:rPr>
            <w:t xml:space="preserve"> R. L. (2007).</w:t>
          </w:r>
          <w:proofErr w:type="gramEnd"/>
          <w:r w:rsidRPr="00293676">
            <w:rPr>
              <w:rFonts w:ascii="Times New Roman" w:hAnsi="Times New Roman" w:cs="Times New Roman"/>
              <w:sz w:val="24"/>
              <w:szCs w:val="24"/>
              <w:lang w:bidi="en-US"/>
            </w:rPr>
            <w:t xml:space="preserve"> </w:t>
          </w:r>
          <w:proofErr w:type="gramStart"/>
          <w:r w:rsidRPr="00293676">
            <w:rPr>
              <w:rFonts w:ascii="Times New Roman" w:hAnsi="Times New Roman" w:cs="Times New Roman"/>
              <w:i/>
              <w:sz w:val="24"/>
              <w:szCs w:val="24"/>
              <w:lang w:bidi="en-US"/>
            </w:rPr>
            <w:t>Frailty and its implications for care</w:t>
          </w:r>
          <w:r w:rsidRPr="00293676">
            <w:rPr>
              <w:rFonts w:ascii="Times New Roman" w:hAnsi="Times New Roman" w:cs="Times New Roman"/>
              <w:sz w:val="24"/>
              <w:szCs w:val="24"/>
              <w:lang w:bidi="en-US"/>
            </w:rPr>
            <w:t>.</w:t>
          </w:r>
          <w:proofErr w:type="gramEnd"/>
          <w:r w:rsidRPr="00293676">
            <w:rPr>
              <w:rFonts w:ascii="Times New Roman" w:hAnsi="Times New Roman" w:cs="Times New Roman"/>
              <w:sz w:val="24"/>
              <w:szCs w:val="24"/>
              <w:lang w:bidi="en-US"/>
            </w:rPr>
            <w:t xml:space="preserve"> </w:t>
          </w:r>
          <w:proofErr w:type="gramStart"/>
          <w:r w:rsidRPr="00293676">
            <w:rPr>
              <w:rFonts w:ascii="Times New Roman" w:hAnsi="Times New Roman" w:cs="Times New Roman"/>
              <w:sz w:val="24"/>
              <w:szCs w:val="24"/>
              <w:lang w:bidi="en-US"/>
            </w:rPr>
            <w:t>Hartford Institute</w:t>
          </w:r>
          <w:r w:rsidR="00C90857" w:rsidRPr="00293676">
            <w:rPr>
              <w:rFonts w:ascii="Times New Roman" w:hAnsi="Times New Roman" w:cs="Times New Roman"/>
              <w:sz w:val="24"/>
              <w:szCs w:val="24"/>
              <w:lang w:bidi="en-US"/>
            </w:rPr>
            <w:t xml:space="preserve"> for Geriatric Nursing.</w:t>
          </w:r>
          <w:proofErr w:type="gramEnd"/>
          <w:r w:rsidR="00C90857" w:rsidRPr="00293676">
            <w:rPr>
              <w:rFonts w:ascii="Times New Roman" w:hAnsi="Times New Roman" w:cs="Times New Roman"/>
              <w:sz w:val="24"/>
              <w:szCs w:val="24"/>
              <w:lang w:bidi="en-US"/>
            </w:rPr>
            <w:t xml:space="preserve"> </w:t>
          </w:r>
          <w:proofErr w:type="spellStart"/>
          <w:r w:rsidR="00C90857" w:rsidRPr="00293676">
            <w:rPr>
              <w:rFonts w:ascii="Times New Roman" w:hAnsi="Times New Roman" w:cs="Times New Roman"/>
              <w:sz w:val="24"/>
              <w:szCs w:val="24"/>
              <w:lang w:bidi="en-US"/>
            </w:rPr>
            <w:t>Retrived</w:t>
          </w:r>
          <w:proofErr w:type="spellEnd"/>
          <w:r w:rsidR="00C90857" w:rsidRPr="00293676">
            <w:rPr>
              <w:rFonts w:ascii="Times New Roman" w:hAnsi="Times New Roman" w:cs="Times New Roman"/>
              <w:sz w:val="24"/>
              <w:szCs w:val="24"/>
              <w:lang w:bidi="en-US"/>
            </w:rPr>
            <w:t xml:space="preserve"> from </w:t>
          </w:r>
          <w:hyperlink r:id="rId9" w:history="1">
            <w:r w:rsidR="00C90857" w:rsidRPr="00293676">
              <w:rPr>
                <w:rStyle w:val="Hyperlink"/>
                <w:rFonts w:ascii="Times New Roman" w:hAnsi="Times New Roman" w:cs="Times New Roman"/>
                <w:sz w:val="24"/>
                <w:szCs w:val="24"/>
                <w:lang w:bidi="en-US"/>
              </w:rPr>
              <w:t>http://consultgeriru.org/topics/frailty_and_its_implications_for_care_new/want_to_know_more</w:t>
            </w:r>
          </w:hyperlink>
        </w:p>
        <w:p w:rsidR="00C90857" w:rsidRPr="00293676" w:rsidRDefault="00C90857" w:rsidP="00293676">
          <w:pPr>
            <w:spacing w:line="480" w:lineRule="auto"/>
            <w:ind w:left="720" w:hanging="720"/>
            <w:rPr>
              <w:rFonts w:ascii="Times New Roman" w:hAnsi="Times New Roman" w:cs="Times New Roman"/>
              <w:sz w:val="24"/>
              <w:szCs w:val="24"/>
              <w:lang w:bidi="en-US"/>
            </w:rPr>
          </w:pPr>
          <w:proofErr w:type="spellStart"/>
          <w:proofErr w:type="gramStart"/>
          <w:r w:rsidRPr="00293676">
            <w:rPr>
              <w:rFonts w:ascii="Times New Roman" w:hAnsi="Times New Roman" w:cs="Times New Roman"/>
              <w:sz w:val="24"/>
              <w:szCs w:val="24"/>
              <w:lang w:bidi="en-US"/>
            </w:rPr>
            <w:t>Ceniak</w:t>
          </w:r>
          <w:proofErr w:type="spellEnd"/>
          <w:r w:rsidRPr="00293676">
            <w:rPr>
              <w:rFonts w:ascii="Times New Roman" w:hAnsi="Times New Roman" w:cs="Times New Roman"/>
              <w:sz w:val="24"/>
              <w:szCs w:val="24"/>
              <w:lang w:bidi="en-US"/>
            </w:rPr>
            <w:t xml:space="preserve">, E. P., </w:t>
          </w:r>
          <w:proofErr w:type="spellStart"/>
          <w:r w:rsidRPr="00293676">
            <w:rPr>
              <w:rFonts w:ascii="Times New Roman" w:hAnsi="Times New Roman" w:cs="Times New Roman"/>
              <w:sz w:val="24"/>
              <w:szCs w:val="24"/>
              <w:lang w:bidi="en-US"/>
            </w:rPr>
            <w:t>Forez</w:t>
          </w:r>
          <w:proofErr w:type="spellEnd"/>
          <w:r w:rsidRPr="00293676">
            <w:rPr>
              <w:rFonts w:ascii="Times New Roman" w:hAnsi="Times New Roman" w:cs="Times New Roman"/>
              <w:sz w:val="24"/>
              <w:szCs w:val="24"/>
              <w:lang w:bidi="en-US"/>
            </w:rPr>
            <w:t xml:space="preserve">, H. J., &amp; </w:t>
          </w:r>
          <w:proofErr w:type="spellStart"/>
          <w:r w:rsidRPr="00293676">
            <w:rPr>
              <w:rFonts w:ascii="Times New Roman" w:hAnsi="Times New Roman" w:cs="Times New Roman"/>
              <w:sz w:val="24"/>
              <w:szCs w:val="24"/>
              <w:lang w:bidi="en-US"/>
            </w:rPr>
            <w:t>Troen</w:t>
          </w:r>
          <w:proofErr w:type="spellEnd"/>
          <w:r w:rsidRPr="00293676">
            <w:rPr>
              <w:rFonts w:ascii="Times New Roman" w:hAnsi="Times New Roman" w:cs="Times New Roman"/>
              <w:sz w:val="24"/>
              <w:szCs w:val="24"/>
              <w:lang w:bidi="en-US"/>
            </w:rPr>
            <w:t>, B. R. (2007).</w:t>
          </w:r>
          <w:proofErr w:type="gramEnd"/>
          <w:r w:rsidRPr="00293676">
            <w:rPr>
              <w:rFonts w:ascii="Times New Roman" w:hAnsi="Times New Roman" w:cs="Times New Roman"/>
              <w:sz w:val="24"/>
              <w:szCs w:val="24"/>
              <w:lang w:bidi="en-US"/>
            </w:rPr>
            <w:t xml:space="preserve"> </w:t>
          </w:r>
          <w:proofErr w:type="gramStart"/>
          <w:r w:rsidRPr="00293676">
            <w:rPr>
              <w:rFonts w:ascii="Times New Roman" w:hAnsi="Times New Roman" w:cs="Times New Roman"/>
              <w:sz w:val="24"/>
              <w:szCs w:val="24"/>
              <w:lang w:bidi="en-US"/>
            </w:rPr>
            <w:t>Emerging therapies to treat frailty syndrome in the elderly.</w:t>
          </w:r>
          <w:proofErr w:type="gramEnd"/>
          <w:r w:rsidRPr="00293676">
            <w:rPr>
              <w:rFonts w:ascii="Times New Roman" w:hAnsi="Times New Roman" w:cs="Times New Roman"/>
              <w:sz w:val="24"/>
              <w:szCs w:val="24"/>
              <w:lang w:bidi="en-US"/>
            </w:rPr>
            <w:t xml:space="preserve"> </w:t>
          </w:r>
          <w:proofErr w:type="gramStart"/>
          <w:r w:rsidRPr="00293676">
            <w:rPr>
              <w:rFonts w:ascii="Times New Roman" w:hAnsi="Times New Roman" w:cs="Times New Roman"/>
              <w:i/>
              <w:sz w:val="24"/>
              <w:szCs w:val="24"/>
              <w:lang w:bidi="en-US"/>
            </w:rPr>
            <w:t>Alternative Medicine Review</w:t>
          </w:r>
          <w:r w:rsidRPr="00293676">
            <w:rPr>
              <w:rFonts w:ascii="Times New Roman" w:hAnsi="Times New Roman" w:cs="Times New Roman"/>
              <w:sz w:val="24"/>
              <w:szCs w:val="24"/>
              <w:lang w:bidi="en-US"/>
            </w:rPr>
            <w:t>.</w:t>
          </w:r>
          <w:proofErr w:type="gramEnd"/>
          <w:r w:rsidRPr="00293676">
            <w:rPr>
              <w:rFonts w:ascii="Times New Roman" w:hAnsi="Times New Roman" w:cs="Times New Roman"/>
              <w:sz w:val="24"/>
              <w:szCs w:val="24"/>
              <w:lang w:bidi="en-US"/>
            </w:rPr>
            <w:t xml:space="preserve"> Retrieved from</w:t>
          </w:r>
          <w:r w:rsidR="00293676" w:rsidRPr="00293676">
            <w:rPr>
              <w:rFonts w:ascii="Times New Roman" w:hAnsi="Times New Roman" w:cs="Times New Roman"/>
              <w:sz w:val="24"/>
              <w:szCs w:val="24"/>
              <w:lang w:bidi="en-US"/>
            </w:rPr>
            <w:t xml:space="preserve"> </w:t>
          </w:r>
          <w:r w:rsidRPr="00293676">
            <w:rPr>
              <w:rFonts w:ascii="Times New Roman" w:hAnsi="Times New Roman" w:cs="Times New Roman"/>
              <w:sz w:val="24"/>
              <w:szCs w:val="24"/>
              <w:lang w:bidi="en-US"/>
            </w:rPr>
            <w:t>http://findarticles.com/p/articles/mi_m0FDN/is_3_12/ai_n27421818/pg_</w:t>
          </w:r>
          <w:r w:rsidR="00293676" w:rsidRPr="00293676">
            <w:rPr>
              <w:rFonts w:ascii="Times New Roman" w:hAnsi="Times New Roman" w:cs="Times New Roman"/>
              <w:sz w:val="24"/>
              <w:szCs w:val="24"/>
              <w:lang w:bidi="en-US"/>
            </w:rPr>
            <w:t>7</w:t>
          </w:r>
          <w:r w:rsidRPr="00293676">
            <w:rPr>
              <w:rFonts w:ascii="Times New Roman" w:hAnsi="Times New Roman" w:cs="Times New Roman"/>
              <w:sz w:val="24"/>
              <w:szCs w:val="24"/>
              <w:lang w:bidi="en-US"/>
            </w:rPr>
            <w:t>/</w:t>
          </w:r>
          <w:r w:rsidR="00293676" w:rsidRPr="00293676">
            <w:rPr>
              <w:rFonts w:ascii="Times New Roman" w:hAnsi="Times New Roman" w:cs="Times New Roman"/>
              <w:sz w:val="24"/>
              <w:szCs w:val="24"/>
              <w:lang w:bidi="en-US"/>
            </w:rPr>
            <w:t>tag=content;col1</w:t>
          </w:r>
        </w:p>
        <w:p w:rsidR="00F867FF" w:rsidRPr="00293676" w:rsidRDefault="00C90857" w:rsidP="00293676">
          <w:pPr>
            <w:spacing w:line="480" w:lineRule="auto"/>
            <w:ind w:left="720" w:hanging="720"/>
            <w:rPr>
              <w:rFonts w:ascii="Times New Roman" w:hAnsi="Times New Roman" w:cs="Times New Roman"/>
              <w:sz w:val="24"/>
              <w:szCs w:val="24"/>
              <w:lang w:bidi="en-US"/>
            </w:rPr>
          </w:pPr>
          <w:proofErr w:type="gramStart"/>
          <w:r w:rsidRPr="00293676">
            <w:rPr>
              <w:rFonts w:ascii="Times New Roman" w:hAnsi="Times New Roman" w:cs="Times New Roman"/>
              <w:sz w:val="24"/>
              <w:szCs w:val="24"/>
              <w:lang w:bidi="en-US"/>
            </w:rPr>
            <w:t>Espinoza, S. E., &amp; Fried, L. P. (2007).</w:t>
          </w:r>
          <w:proofErr w:type="gramEnd"/>
          <w:r w:rsidRPr="00293676">
            <w:rPr>
              <w:rFonts w:ascii="Times New Roman" w:hAnsi="Times New Roman" w:cs="Times New Roman"/>
              <w:sz w:val="24"/>
              <w:szCs w:val="24"/>
              <w:lang w:bidi="en-US"/>
            </w:rPr>
            <w:t xml:space="preserve"> </w:t>
          </w:r>
          <w:proofErr w:type="gramStart"/>
          <w:r w:rsidRPr="00293676">
            <w:rPr>
              <w:rFonts w:ascii="Times New Roman" w:hAnsi="Times New Roman" w:cs="Times New Roman"/>
              <w:i/>
              <w:sz w:val="24"/>
              <w:szCs w:val="24"/>
              <w:lang w:bidi="en-US"/>
            </w:rPr>
            <w:t>Risk factors for frailty in the older adult</w:t>
          </w:r>
          <w:r w:rsidRPr="00293676">
            <w:rPr>
              <w:rFonts w:ascii="Times New Roman" w:hAnsi="Times New Roman" w:cs="Times New Roman"/>
              <w:sz w:val="24"/>
              <w:szCs w:val="24"/>
              <w:lang w:bidi="en-US"/>
            </w:rPr>
            <w:t>.</w:t>
          </w:r>
          <w:proofErr w:type="gramEnd"/>
          <w:r w:rsidRPr="00293676">
            <w:rPr>
              <w:rFonts w:ascii="Times New Roman" w:hAnsi="Times New Roman" w:cs="Times New Roman"/>
              <w:sz w:val="24"/>
              <w:szCs w:val="24"/>
              <w:lang w:bidi="en-US"/>
            </w:rPr>
            <w:t xml:space="preserve"> </w:t>
          </w:r>
          <w:proofErr w:type="gramStart"/>
          <w:r w:rsidRPr="00293676">
            <w:rPr>
              <w:rFonts w:ascii="Times New Roman" w:hAnsi="Times New Roman" w:cs="Times New Roman"/>
              <w:sz w:val="24"/>
              <w:szCs w:val="24"/>
              <w:lang w:bidi="en-US"/>
            </w:rPr>
            <w:t>John Hopkins Medicine.</w:t>
          </w:r>
          <w:proofErr w:type="gramEnd"/>
          <w:r w:rsidRPr="00293676">
            <w:rPr>
              <w:rFonts w:ascii="Times New Roman" w:hAnsi="Times New Roman" w:cs="Times New Roman"/>
              <w:sz w:val="24"/>
              <w:szCs w:val="24"/>
              <w:lang w:bidi="en-US"/>
            </w:rPr>
            <w:t xml:space="preserve"> Retrieved from </w:t>
          </w:r>
          <w:hyperlink r:id="rId10" w:history="1">
            <w:r w:rsidRPr="00293676">
              <w:rPr>
                <w:rStyle w:val="Hyperlink"/>
                <w:rFonts w:ascii="Times New Roman" w:hAnsi="Times New Roman" w:cs="Times New Roman"/>
                <w:sz w:val="24"/>
                <w:szCs w:val="24"/>
                <w:lang w:bidi="en-US"/>
              </w:rPr>
              <w:t>http://imersomayores.csic.es/documentos/boletin/2007/numero-52/art-07-07-01.pdf</w:t>
            </w:r>
          </w:hyperlink>
        </w:p>
        <w:sdt>
          <w:sdtPr>
            <w:rPr>
              <w:rFonts w:ascii="Times New Roman" w:hAnsi="Times New Roman" w:cs="Times New Roman"/>
              <w:color w:val="0000FF" w:themeColor="hyperlink"/>
              <w:sz w:val="24"/>
              <w:szCs w:val="24"/>
              <w:u w:val="single"/>
            </w:rPr>
            <w:id w:val="6802713"/>
            <w:bibliography/>
          </w:sdtPr>
          <w:sdtEndPr>
            <w:rPr>
              <w:rFonts w:asciiTheme="minorHAnsi" w:hAnsiTheme="minorHAnsi" w:cstheme="minorBidi"/>
              <w:sz w:val="22"/>
              <w:szCs w:val="22"/>
            </w:rPr>
          </w:sdtEndPr>
          <w:sdtContent>
            <w:commentRangeStart w:id="5" w:displacedByCustomXml="prev"/>
            <w:p w:rsidR="00F867FF" w:rsidRPr="00293676" w:rsidRDefault="007778A1" w:rsidP="00293676">
              <w:pPr>
                <w:pStyle w:val="Bibliography"/>
                <w:spacing w:line="480" w:lineRule="auto"/>
                <w:ind w:left="720" w:hanging="720"/>
                <w:rPr>
                  <w:rFonts w:ascii="Times New Roman" w:hAnsi="Times New Roman" w:cs="Times New Roman"/>
                  <w:noProof/>
                  <w:sz w:val="24"/>
                  <w:szCs w:val="24"/>
                </w:rPr>
              </w:pPr>
              <w:r w:rsidRPr="00293676">
                <w:rPr>
                  <w:rFonts w:ascii="Times New Roman" w:hAnsi="Times New Roman" w:cs="Times New Roman"/>
                  <w:sz w:val="24"/>
                  <w:szCs w:val="24"/>
                </w:rPr>
                <w:fldChar w:fldCharType="begin"/>
              </w:r>
              <w:r w:rsidR="00F867FF" w:rsidRPr="00293676">
                <w:rPr>
                  <w:rFonts w:ascii="Times New Roman" w:hAnsi="Times New Roman" w:cs="Times New Roman"/>
                  <w:sz w:val="24"/>
                  <w:szCs w:val="24"/>
                </w:rPr>
                <w:instrText xml:space="preserve"> BIBLIOGRAPHY </w:instrText>
              </w:r>
              <w:r w:rsidRPr="00293676">
                <w:rPr>
                  <w:rFonts w:ascii="Times New Roman" w:hAnsi="Times New Roman" w:cs="Times New Roman"/>
                  <w:sz w:val="24"/>
                  <w:szCs w:val="24"/>
                </w:rPr>
                <w:fldChar w:fldCharType="separate"/>
              </w:r>
              <w:r w:rsidR="00F867FF" w:rsidRPr="00293676">
                <w:rPr>
                  <w:rFonts w:ascii="Times New Roman" w:hAnsi="Times New Roman" w:cs="Times New Roman"/>
                  <w:noProof/>
                  <w:sz w:val="24"/>
                  <w:szCs w:val="24"/>
                </w:rPr>
                <w:t xml:space="preserve">Porth, C. (2011). </w:t>
              </w:r>
              <w:r w:rsidR="00F867FF" w:rsidRPr="00293676">
                <w:rPr>
                  <w:rFonts w:ascii="Times New Roman" w:hAnsi="Times New Roman" w:cs="Times New Roman"/>
                  <w:i/>
                  <w:iCs/>
                  <w:noProof/>
                  <w:sz w:val="24"/>
                  <w:szCs w:val="24"/>
                </w:rPr>
                <w:t>Essentials of Pathophysiology.</w:t>
              </w:r>
              <w:r w:rsidR="00F867FF" w:rsidRPr="00293676">
                <w:rPr>
                  <w:rFonts w:ascii="Times New Roman" w:hAnsi="Times New Roman" w:cs="Times New Roman"/>
                  <w:noProof/>
                  <w:sz w:val="24"/>
                  <w:szCs w:val="24"/>
                </w:rPr>
                <w:t xml:space="preserve"> Philadelphia : Lipincott Williams &amp; Wilkins.</w:t>
              </w:r>
            </w:p>
            <w:p w:rsidR="00F867FF" w:rsidRDefault="007778A1" w:rsidP="00293676">
              <w:pPr>
                <w:spacing w:line="480" w:lineRule="auto"/>
                <w:ind w:left="720" w:hanging="720"/>
              </w:pPr>
              <w:r w:rsidRPr="00293676">
                <w:rPr>
                  <w:rFonts w:ascii="Times New Roman" w:hAnsi="Times New Roman" w:cs="Times New Roman"/>
                  <w:sz w:val="24"/>
                  <w:szCs w:val="24"/>
                </w:rPr>
                <w:fldChar w:fldCharType="end"/>
              </w:r>
              <w:commentRangeEnd w:id="5"/>
              <w:r w:rsidR="007F39C9">
                <w:rPr>
                  <w:rStyle w:val="CommentReference"/>
                </w:rPr>
                <w:commentReference w:id="5"/>
              </w:r>
            </w:p>
          </w:sdtContent>
        </w:sdt>
      </w:sdtContent>
    </w:sdt>
    <w:p w:rsidR="00F867FF" w:rsidRPr="002349DB" w:rsidRDefault="00F867FF" w:rsidP="00F867FF">
      <w:pPr>
        <w:pStyle w:val="ListParagraph"/>
        <w:spacing w:line="480" w:lineRule="auto"/>
        <w:rPr>
          <w:rFonts w:ascii="Times New Roman" w:hAnsi="Times New Roman"/>
          <w:sz w:val="24"/>
        </w:rPr>
      </w:pPr>
    </w:p>
    <w:sectPr w:rsidR="00F867FF" w:rsidRPr="002349DB" w:rsidSect="00CA0A44">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8T05:36:00Z" w:initials="M">
    <w:p w:rsidR="006B1A18" w:rsidRDefault="006B1A18">
      <w:pPr>
        <w:pStyle w:val="CommentText"/>
      </w:pPr>
      <w:r>
        <w:rPr>
          <w:rStyle w:val="CommentReference"/>
        </w:rPr>
        <w:annotationRef/>
      </w:r>
      <w:r>
        <w:t>Always use a title here</w:t>
      </w:r>
    </w:p>
  </w:comment>
  <w:comment w:id="1" w:author="Mary" w:date="2012-02-28T05:45:00Z" w:initials="M">
    <w:p w:rsidR="006B1A18" w:rsidRDefault="006B1A18">
      <w:pPr>
        <w:pStyle w:val="CommentText"/>
      </w:pPr>
      <w:r>
        <w:rPr>
          <w:rStyle w:val="CommentReference"/>
        </w:rPr>
        <w:annotationRef/>
      </w:r>
      <w:r>
        <w:t xml:space="preserve">You have to use References and why is </w:t>
      </w:r>
      <w:proofErr w:type="spellStart"/>
      <w:r>
        <w:t>porth</w:t>
      </w:r>
      <w:proofErr w:type="spellEnd"/>
      <w:r>
        <w:t xml:space="preserve"> here</w:t>
      </w:r>
    </w:p>
  </w:comment>
  <w:comment w:id="2" w:author="Mary" w:date="2012-02-28T05:46:00Z" w:initials="M">
    <w:p w:rsidR="007F39C9" w:rsidRDefault="007F39C9">
      <w:pPr>
        <w:pStyle w:val="CommentText"/>
      </w:pPr>
      <w:r>
        <w:rPr>
          <w:rStyle w:val="CommentReference"/>
        </w:rPr>
        <w:annotationRef/>
      </w:r>
      <w:r>
        <w:t>Capital F</w:t>
      </w:r>
    </w:p>
  </w:comment>
  <w:comment w:id="3" w:author="Mary" w:date="2012-02-28T05:47:00Z" w:initials="M">
    <w:p w:rsidR="007F39C9" w:rsidRDefault="007F39C9">
      <w:pPr>
        <w:pStyle w:val="CommentText"/>
      </w:pPr>
      <w:r>
        <w:rPr>
          <w:rStyle w:val="CommentReference"/>
        </w:rPr>
        <w:annotationRef/>
      </w:r>
      <w:proofErr w:type="gramStart"/>
      <w:r>
        <w:t>et</w:t>
      </w:r>
      <w:proofErr w:type="gramEnd"/>
      <w:r>
        <w:t xml:space="preserve"> al. period after al</w:t>
      </w:r>
    </w:p>
  </w:comment>
  <w:comment w:id="4" w:author="Mary" w:date="2012-02-28T05:47:00Z" w:initials="M">
    <w:p w:rsidR="007F39C9" w:rsidRDefault="007F39C9">
      <w:pPr>
        <w:pStyle w:val="CommentText"/>
      </w:pPr>
      <w:r>
        <w:rPr>
          <w:rStyle w:val="CommentReference"/>
        </w:rPr>
        <w:annotationRef/>
      </w:r>
      <w:proofErr w:type="gramStart"/>
      <w:r>
        <w:t>italic</w:t>
      </w:r>
      <w:proofErr w:type="gramEnd"/>
      <w:r>
        <w:t xml:space="preserve"> the </w:t>
      </w:r>
      <w:proofErr w:type="spellStart"/>
      <w:r>
        <w:t>vol</w:t>
      </w:r>
      <w:proofErr w:type="spellEnd"/>
      <w:r>
        <w:t xml:space="preserve"> but not issue</w:t>
      </w:r>
    </w:p>
  </w:comment>
  <w:comment w:id="5" w:author="Mary" w:date="2012-02-28T05:50:00Z" w:initials="M">
    <w:p w:rsidR="007F39C9" w:rsidRDefault="007F39C9">
      <w:pPr>
        <w:pStyle w:val="CommentText"/>
      </w:pPr>
      <w:r>
        <w:rPr>
          <w:rStyle w:val="CommentReference"/>
        </w:rPr>
        <w:annotationRef/>
      </w:r>
      <w:proofErr w:type="gramStart"/>
      <w:r>
        <w:t>only</w:t>
      </w:r>
      <w:proofErr w:type="gramEnd"/>
      <w:r>
        <w:t xml:space="preserve"> cap first word and proper nouns in title when done like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D00" w:rsidRDefault="00186D00" w:rsidP="00CA0A44">
      <w:pPr>
        <w:spacing w:after="0" w:line="240" w:lineRule="auto"/>
      </w:pPr>
      <w:r>
        <w:separator/>
      </w:r>
    </w:p>
  </w:endnote>
  <w:endnote w:type="continuationSeparator" w:id="0">
    <w:p w:rsidR="00186D00" w:rsidRDefault="00186D00" w:rsidP="00CA0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D00" w:rsidRDefault="00186D00" w:rsidP="00CA0A44">
      <w:pPr>
        <w:spacing w:after="0" w:line="240" w:lineRule="auto"/>
      </w:pPr>
      <w:r>
        <w:separator/>
      </w:r>
    </w:p>
  </w:footnote>
  <w:footnote w:type="continuationSeparator" w:id="0">
    <w:p w:rsidR="00186D00" w:rsidRDefault="00186D00" w:rsidP="00CA0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FF" w:rsidRPr="00CA0A44" w:rsidRDefault="00F867FF">
    <w:pPr>
      <w:pStyle w:val="Header"/>
      <w:rPr>
        <w:rFonts w:ascii="Times New Roman" w:hAnsi="Times New Roman" w:cs="Times New Roman"/>
      </w:rPr>
    </w:pPr>
    <w:r w:rsidRPr="00CA0A44">
      <w:rPr>
        <w:rFonts w:ascii="Times New Roman" w:hAnsi="Times New Roman" w:cs="Times New Roman"/>
      </w:rPr>
      <w:t>CASE STUDY 5</w:t>
    </w:r>
    <w:r w:rsidRPr="00CA0A44">
      <w:rPr>
        <w:rFonts w:ascii="Times New Roman" w:hAnsi="Times New Roman" w:cs="Times New Roman"/>
      </w:rPr>
      <w:tab/>
    </w:r>
    <w:r w:rsidRPr="00CA0A44">
      <w:rPr>
        <w:rFonts w:ascii="Times New Roman" w:hAnsi="Times New Roman" w:cs="Times New Roman"/>
      </w:rPr>
      <w:tab/>
    </w:r>
    <w:sdt>
      <w:sdtPr>
        <w:rPr>
          <w:rFonts w:ascii="Times New Roman" w:hAnsi="Times New Roman" w:cs="Times New Roman"/>
        </w:rPr>
        <w:id w:val="6802686"/>
        <w:docPartObj>
          <w:docPartGallery w:val="Page Numbers (Top of Page)"/>
          <w:docPartUnique/>
        </w:docPartObj>
      </w:sdtPr>
      <w:sdtContent>
        <w:r w:rsidR="007778A1" w:rsidRPr="00CA0A44">
          <w:rPr>
            <w:rFonts w:ascii="Times New Roman" w:hAnsi="Times New Roman" w:cs="Times New Roman"/>
          </w:rPr>
          <w:fldChar w:fldCharType="begin"/>
        </w:r>
        <w:r w:rsidRPr="00CA0A44">
          <w:rPr>
            <w:rFonts w:ascii="Times New Roman" w:hAnsi="Times New Roman" w:cs="Times New Roman"/>
          </w:rPr>
          <w:instrText xml:space="preserve"> PAGE   \* MERGEFORMAT </w:instrText>
        </w:r>
        <w:r w:rsidR="007778A1" w:rsidRPr="00CA0A44">
          <w:rPr>
            <w:rFonts w:ascii="Times New Roman" w:hAnsi="Times New Roman" w:cs="Times New Roman"/>
          </w:rPr>
          <w:fldChar w:fldCharType="separate"/>
        </w:r>
        <w:r w:rsidR="007F39C9">
          <w:rPr>
            <w:rFonts w:ascii="Times New Roman" w:hAnsi="Times New Roman" w:cs="Times New Roman"/>
            <w:noProof/>
          </w:rPr>
          <w:t>2</w:t>
        </w:r>
        <w:r w:rsidR="007778A1" w:rsidRPr="00CA0A44">
          <w:rPr>
            <w:rFonts w:ascii="Times New Roman" w:hAnsi="Times New Roman" w:cs="Times New Roman"/>
          </w:rPr>
          <w:fldChar w:fldCharType="end"/>
        </w:r>
      </w:sdtContent>
    </w:sdt>
  </w:p>
  <w:p w:rsidR="00F867FF" w:rsidRDefault="00F867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FF" w:rsidRDefault="00F867FF">
    <w:pPr>
      <w:pStyle w:val="Header"/>
    </w:pPr>
    <w:r w:rsidRPr="00CA0A44">
      <w:rPr>
        <w:rFonts w:ascii="Times New Roman" w:hAnsi="Times New Roman" w:cs="Times New Roman"/>
        <w:sz w:val="24"/>
        <w:szCs w:val="24"/>
      </w:rPr>
      <w:t xml:space="preserve">Running head: CASE STUDY 5 </w:t>
    </w:r>
    <w:r w:rsidRPr="00CA0A44">
      <w:rPr>
        <w:rFonts w:ascii="Times New Roman" w:hAnsi="Times New Roman" w:cs="Times New Roman"/>
        <w:sz w:val="24"/>
        <w:szCs w:val="24"/>
      </w:rPr>
      <w:tab/>
    </w:r>
    <w:r w:rsidRPr="00CA0A44">
      <w:rPr>
        <w:rFonts w:ascii="Times New Roman" w:hAnsi="Times New Roman" w:cs="Times New Roman"/>
        <w:sz w:val="24"/>
        <w:szCs w:val="24"/>
      </w:rPr>
      <w:tab/>
    </w:r>
    <w:sdt>
      <w:sdtPr>
        <w:rPr>
          <w:rFonts w:ascii="Times New Roman" w:hAnsi="Times New Roman" w:cs="Times New Roman"/>
          <w:sz w:val="24"/>
          <w:szCs w:val="24"/>
        </w:rPr>
        <w:id w:val="6802630"/>
        <w:docPartObj>
          <w:docPartGallery w:val="Page Numbers (Top of Page)"/>
          <w:docPartUnique/>
        </w:docPartObj>
      </w:sdtPr>
      <w:sdtEndPr>
        <w:rPr>
          <w:rFonts w:asciiTheme="minorHAnsi" w:hAnsiTheme="minorHAnsi" w:cstheme="minorBidi"/>
          <w:sz w:val="22"/>
          <w:szCs w:val="22"/>
        </w:rPr>
      </w:sdtEndPr>
      <w:sdtContent>
        <w:r w:rsidR="007778A1" w:rsidRPr="00CA0A44">
          <w:rPr>
            <w:rFonts w:ascii="Times New Roman" w:hAnsi="Times New Roman" w:cs="Times New Roman"/>
            <w:sz w:val="24"/>
            <w:szCs w:val="24"/>
          </w:rPr>
          <w:fldChar w:fldCharType="begin"/>
        </w:r>
        <w:r w:rsidRPr="00CA0A44">
          <w:rPr>
            <w:rFonts w:ascii="Times New Roman" w:hAnsi="Times New Roman" w:cs="Times New Roman"/>
            <w:sz w:val="24"/>
            <w:szCs w:val="24"/>
          </w:rPr>
          <w:instrText xml:space="preserve"> PAGE   \* MERGEFORMAT </w:instrText>
        </w:r>
        <w:r w:rsidR="007778A1" w:rsidRPr="00CA0A44">
          <w:rPr>
            <w:rFonts w:ascii="Times New Roman" w:hAnsi="Times New Roman" w:cs="Times New Roman"/>
            <w:sz w:val="24"/>
            <w:szCs w:val="24"/>
          </w:rPr>
          <w:fldChar w:fldCharType="separate"/>
        </w:r>
        <w:r w:rsidR="007F39C9">
          <w:rPr>
            <w:rFonts w:ascii="Times New Roman" w:hAnsi="Times New Roman" w:cs="Times New Roman"/>
            <w:noProof/>
            <w:sz w:val="24"/>
            <w:szCs w:val="24"/>
          </w:rPr>
          <w:t>1</w:t>
        </w:r>
        <w:r w:rsidR="007778A1" w:rsidRPr="00CA0A44">
          <w:rPr>
            <w:rFonts w:ascii="Times New Roman" w:hAnsi="Times New Roman" w:cs="Times New Roman"/>
            <w:sz w:val="24"/>
            <w:szCs w:val="24"/>
          </w:rPr>
          <w:fldChar w:fldCharType="end"/>
        </w:r>
      </w:sdtContent>
    </w:sdt>
  </w:p>
  <w:p w:rsidR="00F867FF" w:rsidRDefault="00F867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A33"/>
    <w:multiLevelType w:val="hybridMultilevel"/>
    <w:tmpl w:val="FFC49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A0A44"/>
    <w:rsid w:val="00005D85"/>
    <w:rsid w:val="00186D00"/>
    <w:rsid w:val="001A5A3D"/>
    <w:rsid w:val="002349DB"/>
    <w:rsid w:val="00234F5D"/>
    <w:rsid w:val="00293676"/>
    <w:rsid w:val="003B201C"/>
    <w:rsid w:val="006B1A18"/>
    <w:rsid w:val="006C1E42"/>
    <w:rsid w:val="00734FD3"/>
    <w:rsid w:val="007419B4"/>
    <w:rsid w:val="007778A1"/>
    <w:rsid w:val="007F39C9"/>
    <w:rsid w:val="00875F52"/>
    <w:rsid w:val="00B37E0E"/>
    <w:rsid w:val="00C90857"/>
    <w:rsid w:val="00CA0A44"/>
    <w:rsid w:val="00F56BF2"/>
    <w:rsid w:val="00F867FF"/>
    <w:rsid w:val="00F92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0E"/>
  </w:style>
  <w:style w:type="paragraph" w:styleId="Heading1">
    <w:name w:val="heading 1"/>
    <w:basedOn w:val="Normal"/>
    <w:next w:val="Normal"/>
    <w:link w:val="Heading1Char"/>
    <w:uiPriority w:val="9"/>
    <w:qFormat/>
    <w:rsid w:val="00F867F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44"/>
  </w:style>
  <w:style w:type="paragraph" w:styleId="Footer">
    <w:name w:val="footer"/>
    <w:basedOn w:val="Normal"/>
    <w:link w:val="FooterChar"/>
    <w:uiPriority w:val="99"/>
    <w:semiHidden/>
    <w:unhideWhenUsed/>
    <w:rsid w:val="00CA0A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A44"/>
  </w:style>
  <w:style w:type="paragraph" w:styleId="BalloonText">
    <w:name w:val="Balloon Text"/>
    <w:basedOn w:val="Normal"/>
    <w:link w:val="BalloonTextChar"/>
    <w:uiPriority w:val="99"/>
    <w:semiHidden/>
    <w:unhideWhenUsed/>
    <w:rsid w:val="00CA0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44"/>
    <w:rPr>
      <w:rFonts w:ascii="Tahoma" w:hAnsi="Tahoma" w:cs="Tahoma"/>
      <w:sz w:val="16"/>
      <w:szCs w:val="16"/>
    </w:rPr>
  </w:style>
  <w:style w:type="paragraph" w:styleId="ListParagraph">
    <w:name w:val="List Paragraph"/>
    <w:basedOn w:val="Normal"/>
    <w:uiPriority w:val="34"/>
    <w:qFormat/>
    <w:rsid w:val="00CA0A44"/>
    <w:pPr>
      <w:ind w:left="720"/>
      <w:contextualSpacing/>
    </w:pPr>
  </w:style>
  <w:style w:type="character" w:customStyle="1" w:styleId="Heading1Char">
    <w:name w:val="Heading 1 Char"/>
    <w:basedOn w:val="DefaultParagraphFont"/>
    <w:link w:val="Heading1"/>
    <w:uiPriority w:val="9"/>
    <w:rsid w:val="00F867F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867FF"/>
  </w:style>
  <w:style w:type="character" w:styleId="Hyperlink">
    <w:name w:val="Hyperlink"/>
    <w:basedOn w:val="DefaultParagraphFont"/>
    <w:uiPriority w:val="99"/>
    <w:unhideWhenUsed/>
    <w:rsid w:val="00C90857"/>
    <w:rPr>
      <w:color w:val="0000FF" w:themeColor="hyperlink"/>
      <w:u w:val="single"/>
    </w:rPr>
  </w:style>
  <w:style w:type="character" w:styleId="CommentReference">
    <w:name w:val="annotation reference"/>
    <w:basedOn w:val="DefaultParagraphFont"/>
    <w:uiPriority w:val="99"/>
    <w:semiHidden/>
    <w:unhideWhenUsed/>
    <w:rsid w:val="006B1A18"/>
    <w:rPr>
      <w:sz w:val="16"/>
      <w:szCs w:val="16"/>
    </w:rPr>
  </w:style>
  <w:style w:type="paragraph" w:styleId="CommentText">
    <w:name w:val="annotation text"/>
    <w:basedOn w:val="Normal"/>
    <w:link w:val="CommentTextChar"/>
    <w:uiPriority w:val="99"/>
    <w:semiHidden/>
    <w:unhideWhenUsed/>
    <w:rsid w:val="006B1A18"/>
    <w:pPr>
      <w:spacing w:line="240" w:lineRule="auto"/>
    </w:pPr>
    <w:rPr>
      <w:sz w:val="20"/>
      <w:szCs w:val="20"/>
    </w:rPr>
  </w:style>
  <w:style w:type="character" w:customStyle="1" w:styleId="CommentTextChar">
    <w:name w:val="Comment Text Char"/>
    <w:basedOn w:val="DefaultParagraphFont"/>
    <w:link w:val="CommentText"/>
    <w:uiPriority w:val="99"/>
    <w:semiHidden/>
    <w:rsid w:val="006B1A18"/>
    <w:rPr>
      <w:sz w:val="20"/>
      <w:szCs w:val="20"/>
    </w:rPr>
  </w:style>
  <w:style w:type="paragraph" w:styleId="CommentSubject">
    <w:name w:val="annotation subject"/>
    <w:basedOn w:val="CommentText"/>
    <w:next w:val="CommentText"/>
    <w:link w:val="CommentSubjectChar"/>
    <w:uiPriority w:val="99"/>
    <w:semiHidden/>
    <w:unhideWhenUsed/>
    <w:rsid w:val="006B1A18"/>
    <w:rPr>
      <w:b/>
      <w:bCs/>
    </w:rPr>
  </w:style>
  <w:style w:type="character" w:customStyle="1" w:styleId="CommentSubjectChar">
    <w:name w:val="Comment Subject Char"/>
    <w:basedOn w:val="CommentTextChar"/>
    <w:link w:val="CommentSubject"/>
    <w:uiPriority w:val="99"/>
    <w:semiHidden/>
    <w:rsid w:val="006B1A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mersomayores.csic.es/documentos/boletin/2007/numero-52/art-07-07-01.pdf" TargetMode="External"/><Relationship Id="rId4" Type="http://schemas.openxmlformats.org/officeDocument/2006/relationships/settings" Target="settings.xml"/><Relationship Id="rId9" Type="http://schemas.openxmlformats.org/officeDocument/2006/relationships/hyperlink" Target="http://consultgeriru.org/topics/frailty_and_its_implications_for_care_new/want_to_know_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Por11</b:Tag>
    <b:SourceType>Book</b:SourceType>
    <b:Guid>{C75058EC-88B4-44FE-BE07-187BC85FC074}</b:Guid>
    <b:LCID>0</b:LCID>
    <b:Author>
      <b:Author>
        <b:NameList>
          <b:Person>
            <b:Last>Porth</b:Last>
            <b:First>C</b:First>
          </b:Person>
        </b:NameList>
      </b:Author>
    </b:Author>
    <b:Title>Essentials of Pathophysiology</b:Title>
    <b:Year>2011</b:Year>
    <b:City>Philadelphia </b:City>
    <b:Publisher>Lipincott Williams &amp; Wilkins</b:Publisher>
    <b:RefOrder>1</b:RefOrder>
  </b:Source>
</b:Sources>
</file>

<file path=customXml/itemProps1.xml><?xml version="1.0" encoding="utf-8"?>
<ds:datastoreItem xmlns:ds="http://schemas.openxmlformats.org/officeDocument/2006/customXml" ds:itemID="{C9AE7F3F-2448-43A9-80D7-3A9374FF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1128</Words>
  <Characters>6430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Mary</cp:lastModifiedBy>
  <cp:revision>2</cp:revision>
  <dcterms:created xsi:type="dcterms:W3CDTF">2012-02-28T11:52:00Z</dcterms:created>
  <dcterms:modified xsi:type="dcterms:W3CDTF">2012-02-28T11:52:00Z</dcterms:modified>
</cp:coreProperties>
</file>