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D6" w:rsidRDefault="005B59D6" w:rsidP="00D63BE8">
      <w:pPr>
        <w:spacing w:after="0"/>
        <w:jc w:val="right"/>
      </w:pPr>
      <w:commentRangeStart w:id="0"/>
      <w:r>
        <w:t>Jaclyn</w:t>
      </w:r>
      <w:commentRangeEnd w:id="0"/>
      <w:r w:rsidR="005F03C1">
        <w:rPr>
          <w:rStyle w:val="CommentReference"/>
        </w:rPr>
        <w:commentReference w:id="0"/>
      </w:r>
      <w:r>
        <w:t xml:space="preserve"> Musser</w:t>
      </w:r>
    </w:p>
    <w:p w:rsidR="005B59D6" w:rsidRDefault="005B59D6" w:rsidP="00D63BE8">
      <w:pPr>
        <w:spacing w:after="0"/>
        <w:jc w:val="center"/>
      </w:pPr>
      <w:r>
        <w:t>Case study 1</w:t>
      </w:r>
    </w:p>
    <w:p w:rsidR="005B59D6" w:rsidRDefault="005B59D6" w:rsidP="005B59D6">
      <w:pPr>
        <w:spacing w:after="0"/>
      </w:pPr>
    </w:p>
    <w:p w:rsidR="005B59D6" w:rsidRDefault="005B59D6" w:rsidP="00BA73BE">
      <w:pPr>
        <w:spacing w:after="0" w:line="480" w:lineRule="auto"/>
      </w:pPr>
      <w:r>
        <w:tab/>
        <w:t xml:space="preserve">Some of the challenges that Mr. </w:t>
      </w:r>
      <w:proofErr w:type="spellStart"/>
      <w:r>
        <w:t>Dea</w:t>
      </w:r>
      <w:proofErr w:type="spellEnd"/>
      <w:r>
        <w:t xml:space="preserve"> is currently dealing with include his fractured hip, his thoughts regarding retirement, his wife’s death and his grieving, and his daughter pressuring him to retire and move in with her and her family. In regards to Mr. </w:t>
      </w:r>
      <w:proofErr w:type="spellStart"/>
      <w:r>
        <w:t>Dea’s</w:t>
      </w:r>
      <w:proofErr w:type="spellEnd"/>
      <w:r>
        <w:t xml:space="preserve"> retirement I would recommend that he retire. I would suggest this to him because of the theory of thriving. Mr. </w:t>
      </w:r>
      <w:proofErr w:type="spellStart"/>
      <w:r>
        <w:t>Dea</w:t>
      </w:r>
      <w:proofErr w:type="spellEnd"/>
      <w:r>
        <w:t xml:space="preserve"> is currently experiencing problems related to social </w:t>
      </w:r>
      <w:r w:rsidR="00BA73BE">
        <w:t>disconnect and depression (Lange &amp; Grossman, 2010</w:t>
      </w:r>
      <w:r>
        <w:t xml:space="preserve">). In order to help Mr. </w:t>
      </w:r>
      <w:proofErr w:type="spellStart"/>
      <w:r>
        <w:t>Dea</w:t>
      </w:r>
      <w:proofErr w:type="spellEnd"/>
      <w:r>
        <w:t xml:space="preserve"> return to a thriving individual I think that factors that impede his thriving should be identified and intervent</w:t>
      </w:r>
      <w:r w:rsidR="00BA73BE">
        <w:t>ions should be implemented (Lange &amp; Grossman, 2010</w:t>
      </w:r>
      <w:r>
        <w:t xml:space="preserve">). In regards to Mr. </w:t>
      </w:r>
      <w:proofErr w:type="spellStart"/>
      <w:r>
        <w:t>Dea</w:t>
      </w:r>
      <w:proofErr w:type="spellEnd"/>
      <w:r>
        <w:t xml:space="preserve"> selling and moving out of the town he has lived in for so long I would suggest if he does decide to retire then he should move. In the per</w:t>
      </w:r>
      <w:r w:rsidR="00D63BE8">
        <w:t>s</w:t>
      </w:r>
      <w:r>
        <w:t>on-environment- fit theory it is discussed that a person should explore optimal environments for him or her based on functional limitations and identifying modifications that are needed in his or</w:t>
      </w:r>
      <w:r w:rsidR="00BA73BE">
        <w:t xml:space="preserve"> her residential settings (Lange &amp; Grossman, 2010</w:t>
      </w:r>
      <w:r>
        <w:t xml:space="preserve">).  Mr. </w:t>
      </w:r>
      <w:proofErr w:type="spellStart"/>
      <w:r>
        <w:t>Dea</w:t>
      </w:r>
      <w:proofErr w:type="spellEnd"/>
      <w:r>
        <w:t xml:space="preserve"> can either look into a continuing care retirement community that may be near his children’s home. This type of facility can allow Mr. </w:t>
      </w:r>
      <w:proofErr w:type="spellStart"/>
      <w:r>
        <w:t>Dea</w:t>
      </w:r>
      <w:proofErr w:type="spellEnd"/>
      <w:r>
        <w:t xml:space="preserve"> to remain independent after his fractured hip has healed. The continuing care community allows its residents to move from indepe</w:t>
      </w:r>
      <w:r w:rsidR="00BA73BE">
        <w:t>ndent care to skilled care (St. Pierre &amp; Conley, 2010</w:t>
      </w:r>
      <w:r>
        <w:t xml:space="preserve">). This type of facility may be a good suit for Mr. </w:t>
      </w:r>
      <w:proofErr w:type="spellStart"/>
      <w:r>
        <w:t>Dea</w:t>
      </w:r>
      <w:proofErr w:type="spellEnd"/>
      <w:r>
        <w:t xml:space="preserve"> because was if he were to move to a community like this he would not have to transfer to another community if h</w:t>
      </w:r>
      <w:r w:rsidR="00BA73BE">
        <w:t>e needed more skilled care (St. Pierre &amp; Conley, 2010</w:t>
      </w:r>
      <w:r>
        <w:t xml:space="preserve">). Mr. </w:t>
      </w:r>
      <w:proofErr w:type="spellStart"/>
      <w:r>
        <w:t>Dea</w:t>
      </w:r>
      <w:proofErr w:type="spellEnd"/>
      <w:r>
        <w:t xml:space="preserve"> could also move to an assisted living community. In assisted living communities individuals can have his or her own room with a private bathroom, kitchen, living area, bedroom, and closets (</w:t>
      </w:r>
      <w:r w:rsidR="00BA73BE">
        <w:t>St. Pierre &amp; Conley, 2010</w:t>
      </w:r>
      <w:r>
        <w:t xml:space="preserve">). Assisted living communities provide activities, healthy meals, </w:t>
      </w:r>
      <w:r w:rsidR="009F0AC8">
        <w:t xml:space="preserve">places to exercise </w:t>
      </w:r>
      <w:r w:rsidR="00BA73BE">
        <w:t>and socialize, and chapels (St. Pierre &amp; Conley, 2010</w:t>
      </w:r>
      <w:r w:rsidR="009F0AC8">
        <w:t xml:space="preserve">). An assisted living community could be a great place for Mr. </w:t>
      </w:r>
      <w:proofErr w:type="spellStart"/>
      <w:r w:rsidR="009F0AC8">
        <w:t>Dea</w:t>
      </w:r>
      <w:proofErr w:type="spellEnd"/>
      <w:r w:rsidR="009F0AC8">
        <w:t xml:space="preserve"> to live because he could be involved in activities and have the company of other residents living in the community.</w:t>
      </w:r>
      <w:r w:rsidR="00DE79A4">
        <w:t xml:space="preserve"> If Mr. </w:t>
      </w:r>
      <w:proofErr w:type="spellStart"/>
      <w:r w:rsidR="00DE79A4">
        <w:t>Dea</w:t>
      </w:r>
      <w:proofErr w:type="spellEnd"/>
      <w:r w:rsidR="00DE79A4">
        <w:t xml:space="preserve"> would chose to stay in his house I would suggest that </w:t>
      </w:r>
      <w:r w:rsidR="00DE79A4">
        <w:lastRenderedPageBreak/>
        <w:t>he and his daughter talk with his physician and look to see if an integrated team management could help him remain in his house during his convalescence. An integrated team management consists of individuals responsible for day to day care, a physician, and professionals such as a social worker, psychologist, and occupa</w:t>
      </w:r>
      <w:r w:rsidR="00BA73BE">
        <w:t>tional/physical therapist (</w:t>
      </w:r>
      <w:proofErr w:type="spellStart"/>
      <w:r w:rsidR="00BA73BE">
        <w:t>Scragg</w:t>
      </w:r>
      <w:proofErr w:type="spellEnd"/>
      <w:r w:rsidR="00BA73BE">
        <w:t>, 2006</w:t>
      </w:r>
      <w:r w:rsidR="00DE79A4">
        <w:t xml:space="preserve">). This team would be able to provide Mr. </w:t>
      </w:r>
      <w:proofErr w:type="spellStart"/>
      <w:r w:rsidR="00DE79A4">
        <w:t>Dea</w:t>
      </w:r>
      <w:proofErr w:type="spellEnd"/>
      <w:r w:rsidR="00DE79A4">
        <w:t xml:space="preserve"> with optimal physical and psychological care. Mr. </w:t>
      </w:r>
      <w:proofErr w:type="spellStart"/>
      <w:r w:rsidR="00DE79A4">
        <w:t>Dea’s</w:t>
      </w:r>
      <w:proofErr w:type="spellEnd"/>
      <w:r w:rsidR="00DE79A4">
        <w:t xml:space="preserve"> priority needs regarding his health can be based on Maslow’s human needs theory</w:t>
      </w:r>
      <w:r w:rsidR="00BA73BE">
        <w:t xml:space="preserve"> (Lange &amp; Grossman, 2010</w:t>
      </w:r>
      <w:r w:rsidR="003D063B">
        <w:t>)</w:t>
      </w:r>
      <w:r w:rsidR="00DE79A4">
        <w:t xml:space="preserve">. Mr. </w:t>
      </w:r>
      <w:proofErr w:type="spellStart"/>
      <w:r w:rsidR="00DE79A4">
        <w:t>Dea</w:t>
      </w:r>
      <w:proofErr w:type="spellEnd"/>
      <w:r w:rsidR="00DE79A4">
        <w:t xml:space="preserve"> can start by attending to his physiologic needs wh</w:t>
      </w:r>
      <w:r w:rsidR="00590A1F">
        <w:t xml:space="preserve">ich include proper diet and sleep. Then he can proceed to safety and securing which would include his recovery from his fractured hip, return to regular visits with his hematologist, and stop smoking. Physiologic and safety and security generally are important and happen before an individual is able to move on to love and belonging. During the love and belonging phase, Mr. </w:t>
      </w:r>
      <w:proofErr w:type="spellStart"/>
      <w:r w:rsidR="00590A1F">
        <w:t>Dea</w:t>
      </w:r>
      <w:proofErr w:type="spellEnd"/>
      <w:r w:rsidR="00590A1F">
        <w:t xml:space="preserve"> can discuss feelings and emotions regarding his wife. He would be able to continue with the grieving process and improve on his social interactions.</w:t>
      </w:r>
      <w:r w:rsidR="003D063B">
        <w:t xml:space="preserve"> In order to meet Mr. </w:t>
      </w:r>
      <w:proofErr w:type="spellStart"/>
      <w:r w:rsidR="003D063B">
        <w:t>Dea’s</w:t>
      </w:r>
      <w:proofErr w:type="spellEnd"/>
      <w:r w:rsidR="003D063B">
        <w:t xml:space="preserve"> health needs he can sign up for meals on wheels in his community, which deliver nutrition meals directly to the house. A home nurse and physical/occupational therapists can come to the house to help with his recovery of his hip. He can discuss options with his physician about quitting smoking. Mr. </w:t>
      </w:r>
      <w:proofErr w:type="spellStart"/>
      <w:r w:rsidR="003D063B">
        <w:t>Dea</w:t>
      </w:r>
      <w:proofErr w:type="spellEnd"/>
      <w:r w:rsidR="003D063B">
        <w:t xml:space="preserve"> can also talk with a psychiatrist in regards to the death of his wife to help him with his grieving process. Also Mr. </w:t>
      </w:r>
      <w:proofErr w:type="spellStart"/>
      <w:r w:rsidR="003D063B">
        <w:t>Dea</w:t>
      </w:r>
      <w:proofErr w:type="spellEnd"/>
      <w:r w:rsidR="003D063B">
        <w:t xml:space="preserve"> can look into clubs or groups that have activities for older adults to help him </w:t>
      </w:r>
      <w:r w:rsidR="00BA73BE">
        <w:t>increase his social interactions.</w:t>
      </w:r>
    </w:p>
    <w:p w:rsidR="00BA73BE" w:rsidRDefault="00BA73BE" w:rsidP="005B59D6">
      <w:pPr>
        <w:spacing w:after="0"/>
      </w:pPr>
    </w:p>
    <w:p w:rsidR="00BA73BE" w:rsidRDefault="00BA73BE"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D63BE8" w:rsidRDefault="00D63BE8" w:rsidP="005B59D6">
      <w:pPr>
        <w:spacing w:after="0"/>
      </w:pPr>
    </w:p>
    <w:p w:rsidR="00BA73BE" w:rsidRDefault="00BA73BE" w:rsidP="00BA73BE">
      <w:pPr>
        <w:spacing w:after="0"/>
        <w:jc w:val="center"/>
      </w:pPr>
      <w:r>
        <w:lastRenderedPageBreak/>
        <w:t>References</w:t>
      </w:r>
    </w:p>
    <w:p w:rsidR="00BA73BE" w:rsidRDefault="00BA73BE" w:rsidP="00D63BE8">
      <w:pPr>
        <w:spacing w:after="0" w:line="720" w:lineRule="auto"/>
        <w:ind w:left="720" w:hanging="720"/>
      </w:pPr>
      <w:r>
        <w:t xml:space="preserve">Lange, J., &amp; Grossman, S. (2010). </w:t>
      </w:r>
      <w:proofErr w:type="gramStart"/>
      <w:r>
        <w:t>Theories of aging.</w:t>
      </w:r>
      <w:proofErr w:type="gramEnd"/>
      <w:r>
        <w:t xml:space="preserve"> In K.L. </w:t>
      </w:r>
      <w:proofErr w:type="spellStart"/>
      <w:r>
        <w:t>Mauk</w:t>
      </w:r>
      <w:proofErr w:type="spellEnd"/>
      <w:r>
        <w:t xml:space="preserve"> (Ed.), </w:t>
      </w:r>
      <w:commentRangeStart w:id="1"/>
      <w:proofErr w:type="spellStart"/>
      <w:r>
        <w:t>Gerontological</w:t>
      </w:r>
      <w:proofErr w:type="spellEnd"/>
      <w:r>
        <w:t xml:space="preserve"> nursing: Competencies for care </w:t>
      </w:r>
      <w:commentRangeEnd w:id="1"/>
      <w:r w:rsidR="005F03C1">
        <w:rPr>
          <w:rStyle w:val="CommentReference"/>
        </w:rPr>
        <w:commentReference w:id="1"/>
      </w:r>
      <w:r>
        <w:t>(2</w:t>
      </w:r>
      <w:r w:rsidRPr="00BA73BE">
        <w:rPr>
          <w:vertAlign w:val="superscript"/>
        </w:rPr>
        <w:t>nd</w:t>
      </w:r>
      <w:r w:rsidR="00D63BE8">
        <w:t xml:space="preserve"> ed., p.50-73). Su</w:t>
      </w:r>
      <w:r>
        <w:t xml:space="preserve">dbury, Ma: Jones &amp; Bartlett </w:t>
      </w:r>
      <w:commentRangeStart w:id="2"/>
      <w:r>
        <w:t>Publishers.</w:t>
      </w:r>
      <w:commentRangeEnd w:id="2"/>
      <w:r w:rsidR="005F03C1">
        <w:rPr>
          <w:rStyle w:val="CommentReference"/>
        </w:rPr>
        <w:commentReference w:id="2"/>
      </w:r>
    </w:p>
    <w:p w:rsidR="00BA73BE" w:rsidRDefault="00BA73BE" w:rsidP="00D63BE8">
      <w:pPr>
        <w:spacing w:after="0" w:line="720" w:lineRule="auto"/>
        <w:ind w:left="720" w:hanging="720"/>
      </w:pPr>
      <w:proofErr w:type="spellStart"/>
      <w:proofErr w:type="gramStart"/>
      <w:r>
        <w:t>Scragg</w:t>
      </w:r>
      <w:proofErr w:type="spellEnd"/>
      <w:r>
        <w:t>, T. (2006).</w:t>
      </w:r>
      <w:proofErr w:type="gramEnd"/>
      <w:r>
        <w:t xml:space="preserve"> </w:t>
      </w:r>
      <w:proofErr w:type="gramStart"/>
      <w:r>
        <w:t>An evaluation of integrated team management.</w:t>
      </w:r>
      <w:proofErr w:type="gramEnd"/>
      <w:r>
        <w:t xml:space="preserve"> </w:t>
      </w:r>
      <w:r>
        <w:rPr>
          <w:i/>
          <w:iCs/>
        </w:rPr>
        <w:t>Journal of Integrated Care</w:t>
      </w:r>
      <w:commentRangeStart w:id="3"/>
      <w:r>
        <w:t>, 14</w:t>
      </w:r>
      <w:commentRangeEnd w:id="3"/>
      <w:r w:rsidR="005F03C1">
        <w:rPr>
          <w:rStyle w:val="CommentReference"/>
        </w:rPr>
        <w:commentReference w:id="3"/>
      </w:r>
      <w:r>
        <w:t xml:space="preserve">(3), 39-48. </w:t>
      </w:r>
      <w:commentRangeStart w:id="4"/>
      <w:proofErr w:type="gramStart"/>
      <w:r>
        <w:t xml:space="preserve">Retrieved from </w:t>
      </w:r>
      <w:proofErr w:type="spellStart"/>
      <w:r>
        <w:t>EBSCO</w:t>
      </w:r>
      <w:r>
        <w:rPr>
          <w:i/>
          <w:iCs/>
        </w:rPr>
        <w:t>host</w:t>
      </w:r>
      <w:proofErr w:type="spellEnd"/>
      <w:r>
        <w:t xml:space="preserve"> </w:t>
      </w:r>
      <w:commentRangeEnd w:id="4"/>
      <w:r w:rsidR="005F03C1">
        <w:rPr>
          <w:rStyle w:val="CommentReference"/>
        </w:rPr>
        <w:commentReference w:id="4"/>
      </w:r>
      <w:r>
        <w:t>on May 22, 2011.</w:t>
      </w:r>
      <w:proofErr w:type="gramEnd"/>
    </w:p>
    <w:p w:rsidR="00BA73BE" w:rsidRDefault="00BA73BE" w:rsidP="00D63BE8">
      <w:pPr>
        <w:spacing w:after="0" w:line="720" w:lineRule="auto"/>
        <w:ind w:left="720" w:hanging="720"/>
      </w:pPr>
      <w:proofErr w:type="gramStart"/>
      <w:r>
        <w:t>St. Pierre, J., &amp; Conley, D. (2010).</w:t>
      </w:r>
      <w:proofErr w:type="gramEnd"/>
      <w:r>
        <w:t xml:space="preserve"> </w:t>
      </w:r>
      <w:proofErr w:type="gramStart"/>
      <w:r>
        <w:t xml:space="preserve">Introduction to </w:t>
      </w:r>
      <w:proofErr w:type="spellStart"/>
      <w:r>
        <w:t>gerontological</w:t>
      </w:r>
      <w:proofErr w:type="spellEnd"/>
      <w:r>
        <w:t xml:space="preserve"> nursing.</w:t>
      </w:r>
      <w:proofErr w:type="gramEnd"/>
      <w:r>
        <w:t xml:space="preserve"> In K.L. </w:t>
      </w:r>
      <w:proofErr w:type="spellStart"/>
      <w:r>
        <w:t>Mauk</w:t>
      </w:r>
      <w:proofErr w:type="spellEnd"/>
      <w:r>
        <w:t xml:space="preserve"> (Ed.), </w:t>
      </w:r>
      <w:commentRangeStart w:id="5"/>
      <w:proofErr w:type="spellStart"/>
      <w:r>
        <w:t>Gerontological</w:t>
      </w:r>
      <w:proofErr w:type="spellEnd"/>
      <w:r>
        <w:t xml:space="preserve"> nursing: Competencies for care </w:t>
      </w:r>
      <w:commentRangeEnd w:id="5"/>
      <w:r w:rsidR="005F03C1">
        <w:rPr>
          <w:rStyle w:val="CommentReference"/>
        </w:rPr>
        <w:commentReference w:id="5"/>
      </w:r>
      <w:r>
        <w:t>(2</w:t>
      </w:r>
      <w:r w:rsidRPr="00D63BE8">
        <w:rPr>
          <w:vertAlign w:val="superscript"/>
        </w:rPr>
        <w:t>nd</w:t>
      </w:r>
      <w:r w:rsidR="00D63BE8">
        <w:t xml:space="preserve"> ed., p.4-24). Sudbury, Ma: Jones &amp; Bartlett </w:t>
      </w:r>
      <w:commentRangeStart w:id="6"/>
      <w:r w:rsidR="00D63BE8">
        <w:t>Publishers</w:t>
      </w:r>
      <w:commentRangeEnd w:id="6"/>
      <w:r w:rsidR="005F03C1">
        <w:rPr>
          <w:rStyle w:val="CommentReference"/>
        </w:rPr>
        <w:commentReference w:id="6"/>
      </w:r>
      <w:r w:rsidR="00D63BE8">
        <w:t>.</w:t>
      </w:r>
    </w:p>
    <w:sectPr w:rsidR="00BA73BE" w:rsidSect="0061712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8T21:11:00Z" w:initials="M">
    <w:p w:rsidR="005F03C1" w:rsidRDefault="005F03C1">
      <w:pPr>
        <w:pStyle w:val="CommentText"/>
      </w:pPr>
      <w:r>
        <w:rPr>
          <w:rStyle w:val="CommentReference"/>
        </w:rPr>
        <w:annotationRef/>
      </w:r>
      <w:r>
        <w:t xml:space="preserve">This is to be in APA paper with title pg and Running head on all </w:t>
      </w:r>
      <w:proofErr w:type="gramStart"/>
      <w:r>
        <w:t>pg’s  See</w:t>
      </w:r>
      <w:proofErr w:type="gramEnd"/>
      <w:r>
        <w:t xml:space="preserve"> </w:t>
      </w:r>
      <w:proofErr w:type="spellStart"/>
      <w:r>
        <w:t>apa</w:t>
      </w:r>
      <w:proofErr w:type="spellEnd"/>
      <w:r>
        <w:t xml:space="preserve"> book also need pg numbers</w:t>
      </w:r>
    </w:p>
  </w:comment>
  <w:comment w:id="1" w:author="Mary" w:date="2011-05-28T21:08:00Z" w:initials="M">
    <w:p w:rsidR="005F03C1" w:rsidRDefault="005F03C1">
      <w:pPr>
        <w:pStyle w:val="CommentText"/>
      </w:pPr>
      <w:r>
        <w:rPr>
          <w:rStyle w:val="CommentReference"/>
        </w:rPr>
        <w:annotationRef/>
      </w:r>
      <w:r>
        <w:t>Italics</w:t>
      </w:r>
    </w:p>
  </w:comment>
  <w:comment w:id="2" w:author="Mary" w:date="2011-05-28T21:09:00Z" w:initials="M">
    <w:p w:rsidR="005F03C1" w:rsidRDefault="005F03C1">
      <w:pPr>
        <w:pStyle w:val="CommentText"/>
      </w:pPr>
      <w:r>
        <w:rPr>
          <w:rStyle w:val="CommentReference"/>
        </w:rPr>
        <w:annotationRef/>
      </w:r>
      <w:r>
        <w:t>Leave publisher off</w:t>
      </w:r>
    </w:p>
  </w:comment>
  <w:comment w:id="3" w:author="Mary" w:date="2011-05-28T21:09:00Z" w:initials="M">
    <w:p w:rsidR="005F03C1" w:rsidRDefault="005F03C1">
      <w:pPr>
        <w:pStyle w:val="CommentText"/>
      </w:pPr>
      <w:r>
        <w:rPr>
          <w:rStyle w:val="CommentReference"/>
        </w:rPr>
        <w:annotationRef/>
      </w:r>
      <w:proofErr w:type="gramStart"/>
      <w:r>
        <w:t>italics</w:t>
      </w:r>
      <w:proofErr w:type="gramEnd"/>
    </w:p>
  </w:comment>
  <w:comment w:id="4" w:author="Mary" w:date="2011-05-28T21:10:00Z" w:initials="M">
    <w:p w:rsidR="005F03C1" w:rsidRDefault="005F03C1">
      <w:pPr>
        <w:pStyle w:val="CommentText"/>
      </w:pPr>
      <w:r>
        <w:rPr>
          <w:rStyle w:val="CommentReference"/>
        </w:rPr>
        <w:annotationRef/>
      </w:r>
      <w:proofErr w:type="gramStart"/>
      <w:r>
        <w:t>use</w:t>
      </w:r>
      <w:proofErr w:type="gramEnd"/>
      <w:r>
        <w:t xml:space="preserve"> address of article not database</w:t>
      </w:r>
    </w:p>
  </w:comment>
  <w:comment w:id="5" w:author="Mary" w:date="2011-05-28T21:10:00Z" w:initials="M">
    <w:p w:rsidR="005F03C1" w:rsidRDefault="005F03C1">
      <w:pPr>
        <w:pStyle w:val="CommentText"/>
      </w:pPr>
      <w:r>
        <w:rPr>
          <w:rStyle w:val="CommentReference"/>
        </w:rPr>
        <w:annotationRef/>
      </w:r>
      <w:proofErr w:type="gramStart"/>
      <w:r>
        <w:t>italics</w:t>
      </w:r>
      <w:proofErr w:type="gramEnd"/>
    </w:p>
  </w:comment>
  <w:comment w:id="6" w:author="Mary" w:date="2011-05-28T21:10:00Z" w:initials="M">
    <w:p w:rsidR="005F03C1" w:rsidRDefault="005F03C1">
      <w:pPr>
        <w:pStyle w:val="CommentText"/>
      </w:pPr>
      <w:r>
        <w:rPr>
          <w:rStyle w:val="CommentReference"/>
        </w:rPr>
        <w:annotationRef/>
      </w:r>
      <w:proofErr w:type="gramStart"/>
      <w:r>
        <w:t>leave</w:t>
      </w:r>
      <w:proofErr w:type="gramEnd"/>
      <w:r>
        <w:t xml:space="preserve"> off publisher</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B59D6"/>
    <w:rsid w:val="003D063B"/>
    <w:rsid w:val="00590A1F"/>
    <w:rsid w:val="005B59D6"/>
    <w:rsid w:val="005F03C1"/>
    <w:rsid w:val="00617126"/>
    <w:rsid w:val="008B29BD"/>
    <w:rsid w:val="009F0AC8"/>
    <w:rsid w:val="00BA73BE"/>
    <w:rsid w:val="00D63BE8"/>
    <w:rsid w:val="00DE7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03C1"/>
    <w:rPr>
      <w:sz w:val="16"/>
      <w:szCs w:val="16"/>
    </w:rPr>
  </w:style>
  <w:style w:type="paragraph" w:styleId="CommentText">
    <w:name w:val="annotation text"/>
    <w:basedOn w:val="Normal"/>
    <w:link w:val="CommentTextChar"/>
    <w:uiPriority w:val="99"/>
    <w:semiHidden/>
    <w:unhideWhenUsed/>
    <w:rsid w:val="005F03C1"/>
    <w:pPr>
      <w:spacing w:line="240" w:lineRule="auto"/>
    </w:pPr>
    <w:rPr>
      <w:sz w:val="20"/>
      <w:szCs w:val="20"/>
    </w:rPr>
  </w:style>
  <w:style w:type="character" w:customStyle="1" w:styleId="CommentTextChar">
    <w:name w:val="Comment Text Char"/>
    <w:basedOn w:val="DefaultParagraphFont"/>
    <w:link w:val="CommentText"/>
    <w:uiPriority w:val="99"/>
    <w:semiHidden/>
    <w:rsid w:val="005F03C1"/>
    <w:rPr>
      <w:sz w:val="20"/>
      <w:szCs w:val="20"/>
    </w:rPr>
  </w:style>
  <w:style w:type="paragraph" w:styleId="CommentSubject">
    <w:name w:val="annotation subject"/>
    <w:basedOn w:val="CommentText"/>
    <w:next w:val="CommentText"/>
    <w:link w:val="CommentSubjectChar"/>
    <w:uiPriority w:val="99"/>
    <w:semiHidden/>
    <w:unhideWhenUsed/>
    <w:rsid w:val="005F03C1"/>
    <w:rPr>
      <w:b/>
      <w:bCs/>
    </w:rPr>
  </w:style>
  <w:style w:type="character" w:customStyle="1" w:styleId="CommentSubjectChar">
    <w:name w:val="Comment Subject Char"/>
    <w:basedOn w:val="CommentTextChar"/>
    <w:link w:val="CommentSubject"/>
    <w:uiPriority w:val="99"/>
    <w:semiHidden/>
    <w:rsid w:val="005F03C1"/>
    <w:rPr>
      <w:b/>
      <w:bCs/>
    </w:rPr>
  </w:style>
  <w:style w:type="paragraph" w:styleId="BalloonText">
    <w:name w:val="Balloon Text"/>
    <w:basedOn w:val="Normal"/>
    <w:link w:val="BalloonTextChar"/>
    <w:uiPriority w:val="99"/>
    <w:semiHidden/>
    <w:unhideWhenUsed/>
    <w:rsid w:val="005F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3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Denise Musser</dc:creator>
  <cp:lastModifiedBy>Mary</cp:lastModifiedBy>
  <cp:revision>2</cp:revision>
  <dcterms:created xsi:type="dcterms:W3CDTF">2011-05-29T02:12:00Z</dcterms:created>
  <dcterms:modified xsi:type="dcterms:W3CDTF">2011-05-29T02:12:00Z</dcterms:modified>
</cp:coreProperties>
</file>