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F1" w:rsidRPr="005C1007" w:rsidRDefault="00A574F1"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6A4450">
      <w:pPr>
        <w:spacing w:after="0"/>
        <w:jc w:val="center"/>
      </w:pPr>
    </w:p>
    <w:p w:rsidR="006A4450" w:rsidRPr="005C1007" w:rsidRDefault="006A4450" w:rsidP="005C1007">
      <w:pPr>
        <w:spacing w:after="0" w:line="480" w:lineRule="auto"/>
        <w:jc w:val="center"/>
      </w:pPr>
    </w:p>
    <w:p w:rsidR="006A4450" w:rsidRPr="005C1007" w:rsidRDefault="006A4450" w:rsidP="005C1007">
      <w:pPr>
        <w:spacing w:after="0" w:line="480" w:lineRule="auto"/>
        <w:jc w:val="center"/>
      </w:pPr>
      <w:r w:rsidRPr="005C1007">
        <w:t>Case Study 5</w:t>
      </w:r>
    </w:p>
    <w:p w:rsidR="006A4450" w:rsidRPr="005C1007" w:rsidRDefault="006A4450" w:rsidP="005C1007">
      <w:pPr>
        <w:spacing w:after="0" w:line="480" w:lineRule="auto"/>
        <w:jc w:val="center"/>
      </w:pPr>
      <w:r w:rsidRPr="005C1007">
        <w:t>Jaclyn Musser</w:t>
      </w:r>
    </w:p>
    <w:p w:rsidR="006A4450" w:rsidRPr="005C1007" w:rsidRDefault="006A4450" w:rsidP="005C1007">
      <w:pPr>
        <w:spacing w:after="0" w:line="480" w:lineRule="auto"/>
        <w:jc w:val="center"/>
      </w:pPr>
      <w:r w:rsidRPr="005C1007">
        <w:t>Lakeview College of Nursing</w:t>
      </w:r>
    </w:p>
    <w:p w:rsidR="00286B4F" w:rsidRPr="005C1007" w:rsidRDefault="00286B4F" w:rsidP="005C1007">
      <w:pPr>
        <w:spacing w:after="0" w:line="480" w:lineRule="auto"/>
        <w:jc w:val="center"/>
      </w:pPr>
      <w:proofErr w:type="spellStart"/>
      <w:r w:rsidRPr="005C1007">
        <w:t>Gero</w:t>
      </w:r>
      <w:proofErr w:type="spellEnd"/>
      <w:r w:rsidRPr="005C1007">
        <w:t xml:space="preserve"> N309</w:t>
      </w:r>
    </w:p>
    <w:p w:rsidR="00286B4F" w:rsidRPr="005C1007" w:rsidRDefault="00286B4F" w:rsidP="005C1007">
      <w:pPr>
        <w:spacing w:after="0" w:line="480" w:lineRule="auto"/>
        <w:jc w:val="center"/>
      </w:pPr>
      <w:r w:rsidRPr="005C1007">
        <w:t>June 19, 2011</w:t>
      </w:r>
    </w:p>
    <w:p w:rsidR="00286B4F" w:rsidRPr="005C1007" w:rsidRDefault="00286B4F" w:rsidP="005C1007">
      <w:pPr>
        <w:spacing w:after="0" w:line="480" w:lineRule="auto"/>
        <w:jc w:val="center"/>
      </w:pPr>
    </w:p>
    <w:p w:rsidR="00286B4F" w:rsidRPr="005C1007" w:rsidRDefault="00286B4F" w:rsidP="005C1007">
      <w:pPr>
        <w:spacing w:after="0" w:line="480" w:lineRule="auto"/>
        <w:jc w:val="center"/>
      </w:pPr>
    </w:p>
    <w:p w:rsidR="00286B4F" w:rsidRPr="005C1007" w:rsidRDefault="00286B4F" w:rsidP="005C1007">
      <w:pPr>
        <w:spacing w:line="480" w:lineRule="auto"/>
      </w:pPr>
      <w:r w:rsidRPr="005C1007">
        <w:br w:type="page"/>
      </w:r>
    </w:p>
    <w:p w:rsidR="00286B4F" w:rsidRPr="005C1007" w:rsidRDefault="00286B4F" w:rsidP="005C1007">
      <w:pPr>
        <w:spacing w:after="0" w:line="480" w:lineRule="auto"/>
        <w:jc w:val="center"/>
      </w:pPr>
      <w:r w:rsidRPr="005C1007">
        <w:lastRenderedPageBreak/>
        <w:t>Case Study 5</w:t>
      </w:r>
    </w:p>
    <w:p w:rsidR="00507847" w:rsidRPr="005C1007" w:rsidRDefault="00286B4F" w:rsidP="005C1007">
      <w:pPr>
        <w:spacing w:after="0" w:line="480" w:lineRule="auto"/>
      </w:pPr>
      <w:r w:rsidRPr="005C1007">
        <w:tab/>
        <w:t>As the home health nurse, it is important to establish a rapport with Bill before teaching or discussing anything related to his care. It would be best to use one-on-one teaching with Bill. In the beginning of this process, Bill may be able to express his concerns and feelings about his current con</w:t>
      </w:r>
      <w:r w:rsidR="00976A01" w:rsidRPr="005C1007">
        <w:t>dition. It is important to evaluate Bill’s readiness to learn because if he is not willing to learn nothing may come out of the session (</w:t>
      </w:r>
      <w:proofErr w:type="spellStart"/>
      <w:r w:rsidR="00F16830" w:rsidRPr="005C1007">
        <w:t>Mauk</w:t>
      </w:r>
      <w:proofErr w:type="spellEnd"/>
      <w:r w:rsidR="00F16830" w:rsidRPr="005C1007">
        <w:t>, 2010</w:t>
      </w:r>
      <w:r w:rsidR="00976A01" w:rsidRPr="005C1007">
        <w:t>).  After establishing a rapport with Bill and recognizing his readiness to learn, the home health nurse can then proceed to teach Bill about personal care and self care. The nurse should try to avoid large amounts of information at once as this may over overwhelm Bill (</w:t>
      </w:r>
      <w:proofErr w:type="spellStart"/>
      <w:r w:rsidR="005C1007" w:rsidRPr="005C1007">
        <w:t>Mauk</w:t>
      </w:r>
      <w:proofErr w:type="spellEnd"/>
      <w:r w:rsidR="005C1007" w:rsidRPr="005C1007">
        <w:t>, 2010</w:t>
      </w:r>
      <w:r w:rsidR="00976A01" w:rsidRPr="005C1007">
        <w:t xml:space="preserve">).  Following this teaching, the nurse could then discuss with Bill his current sleeping habits and refusal to eat. This may not all be accomplished during this visit because it may be necessary to spend a great deal of time using therapeutic communication with Bill in order to find out his feelings and thoughts about his situation. </w:t>
      </w:r>
    </w:p>
    <w:p w:rsidR="005B1393" w:rsidRPr="005C1007" w:rsidRDefault="00507847" w:rsidP="005C1007">
      <w:pPr>
        <w:spacing w:after="0" w:line="480" w:lineRule="auto"/>
      </w:pPr>
      <w:r w:rsidRPr="005C1007">
        <w:tab/>
        <w:t>Some other diagnoses that Bill’s family may need to be aware of include nursing diagnoses such as  ineffective coping, self-care deficits related to his refusal to bath and dress, disturbed self-esteem, and  ineffective self-health management (</w:t>
      </w:r>
      <w:proofErr w:type="spellStart"/>
      <w:r w:rsidRPr="005C1007">
        <w:t>Carpenito-Moyet</w:t>
      </w:r>
      <w:proofErr w:type="spellEnd"/>
      <w:r w:rsidRPr="005C1007">
        <w:t>, 2010). Another diagnosis to alert the family to would be depression. Bill seems to be displaying some signs of clinical depression</w:t>
      </w:r>
      <w:r w:rsidR="005B1393" w:rsidRPr="005C1007">
        <w:t xml:space="preserve"> (</w:t>
      </w:r>
      <w:proofErr w:type="spellStart"/>
      <w:r w:rsidR="00F16830" w:rsidRPr="005C1007">
        <w:t>Guse</w:t>
      </w:r>
      <w:proofErr w:type="spellEnd"/>
      <w:r w:rsidR="00F16830" w:rsidRPr="005C1007">
        <w:t>, 2010</w:t>
      </w:r>
      <w:r w:rsidR="005B1393" w:rsidRPr="005C1007">
        <w:t xml:space="preserve">). </w:t>
      </w:r>
    </w:p>
    <w:p w:rsidR="005B1393" w:rsidRPr="005C1007" w:rsidRDefault="005B1393" w:rsidP="005C1007">
      <w:pPr>
        <w:spacing w:after="0" w:line="480" w:lineRule="auto"/>
      </w:pPr>
      <w:r w:rsidRPr="005C1007">
        <w:tab/>
        <w:t>According to Bill and Marge’s wishes, the couple would like to remain at home as long as possible. It would be suggested to the couple to continue with the independent living with help. The family has provided Bill and Marge with “a housekeeper every week, a cook three times a week to prepare Marge’s diabetic meals, prepared meal delivery, and aide assistance for bathing and personal care” (</w:t>
      </w:r>
      <w:r w:rsidR="00F16830" w:rsidRPr="005C1007">
        <w:rPr>
          <w:rFonts w:cs="Times New Roman"/>
          <w:sz w:val="24"/>
          <w:szCs w:val="24"/>
        </w:rPr>
        <w:t>Krieger-Blake</w:t>
      </w:r>
      <w:r w:rsidR="00F16830" w:rsidRPr="005C1007">
        <w:t>, 2010</w:t>
      </w:r>
      <w:r w:rsidRPr="005C1007">
        <w:t xml:space="preserve">).  These measures will help Bill and Marge remain at home and independent longer. </w:t>
      </w:r>
    </w:p>
    <w:p w:rsidR="007813D2" w:rsidRPr="005C1007" w:rsidRDefault="00507847" w:rsidP="005C1007">
      <w:pPr>
        <w:spacing w:after="0" w:line="480" w:lineRule="auto"/>
      </w:pPr>
      <w:r w:rsidRPr="005C1007">
        <w:t xml:space="preserve"> </w:t>
      </w:r>
      <w:r w:rsidR="00976A01" w:rsidRPr="005C1007">
        <w:t xml:space="preserve"> </w:t>
      </w:r>
      <w:r w:rsidR="005B1393" w:rsidRPr="005C1007">
        <w:tab/>
        <w:t xml:space="preserve">If I had to decide what to take when downsizing and moving I would choose to bring personal items that could not be placed. </w:t>
      </w:r>
      <w:r w:rsidR="007813D2" w:rsidRPr="005C1007">
        <w:t xml:space="preserve">This however may seem easy, but it would probably be difficult. I would </w:t>
      </w:r>
      <w:r w:rsidR="007813D2" w:rsidRPr="005C1007">
        <w:lastRenderedPageBreak/>
        <w:t>find a rational to bring more stuff than I should. I would take photos and other mementos that I may have been saving for my children. I would probably need someone else to help me decide because his or her opinion would not have a connection to the items I would want to take. He o</w:t>
      </w:r>
      <w:r w:rsidR="00E1155C" w:rsidRPr="005C1007">
        <w:t>r she</w:t>
      </w:r>
      <w:r w:rsidR="007813D2" w:rsidRPr="005C1007">
        <w:t xml:space="preserve"> may be able to discuss with me why I wouldn’t need to take something with me. </w:t>
      </w:r>
    </w:p>
    <w:p w:rsidR="007813D2" w:rsidRPr="005C1007" w:rsidRDefault="007813D2">
      <w:r w:rsidRPr="005C1007">
        <w:br w:type="page"/>
      </w:r>
    </w:p>
    <w:p w:rsidR="00286B4F" w:rsidRPr="005C1007" w:rsidRDefault="007813D2" w:rsidP="007813D2">
      <w:pPr>
        <w:spacing w:after="0"/>
        <w:jc w:val="center"/>
      </w:pPr>
      <w:r w:rsidRPr="005C1007">
        <w:lastRenderedPageBreak/>
        <w:t>References</w:t>
      </w:r>
    </w:p>
    <w:p w:rsidR="007813D2" w:rsidRPr="005C1007" w:rsidRDefault="007813D2" w:rsidP="007813D2">
      <w:pPr>
        <w:spacing w:after="0"/>
        <w:jc w:val="center"/>
      </w:pPr>
    </w:p>
    <w:p w:rsidR="0024490F" w:rsidRPr="005C1007" w:rsidRDefault="0024490F" w:rsidP="0024490F">
      <w:pPr>
        <w:spacing w:after="0" w:line="480" w:lineRule="auto"/>
        <w:ind w:left="720" w:hanging="720"/>
        <w:rPr>
          <w:rFonts w:cs="Times New Roman"/>
          <w:sz w:val="24"/>
          <w:szCs w:val="24"/>
        </w:rPr>
      </w:pPr>
      <w:proofErr w:type="spellStart"/>
      <w:r w:rsidRPr="005C1007">
        <w:rPr>
          <w:rFonts w:cs="Times New Roman"/>
          <w:sz w:val="24"/>
          <w:szCs w:val="24"/>
        </w:rPr>
        <w:t>Carpenito-Moyet</w:t>
      </w:r>
      <w:proofErr w:type="spellEnd"/>
      <w:r w:rsidRPr="005C1007">
        <w:rPr>
          <w:rFonts w:cs="Times New Roman"/>
          <w:sz w:val="24"/>
          <w:szCs w:val="24"/>
        </w:rPr>
        <w:t xml:space="preserve">, L.J. (2010). </w:t>
      </w:r>
      <w:r w:rsidRPr="005C1007">
        <w:rPr>
          <w:rFonts w:cs="Times New Roman"/>
          <w:i/>
          <w:sz w:val="24"/>
          <w:szCs w:val="24"/>
        </w:rPr>
        <w:t xml:space="preserve">Nursing diagnosis: </w:t>
      </w:r>
      <w:commentRangeStart w:id="0"/>
      <w:r w:rsidRPr="005C1007">
        <w:rPr>
          <w:rFonts w:cs="Times New Roman"/>
          <w:i/>
          <w:sz w:val="24"/>
          <w:szCs w:val="24"/>
        </w:rPr>
        <w:t>application</w:t>
      </w:r>
      <w:commentRangeEnd w:id="0"/>
      <w:r w:rsidR="00960FBB">
        <w:rPr>
          <w:rStyle w:val="CommentReference"/>
        </w:rPr>
        <w:commentReference w:id="0"/>
      </w:r>
      <w:r w:rsidRPr="005C1007">
        <w:rPr>
          <w:rFonts w:cs="Times New Roman"/>
          <w:i/>
          <w:sz w:val="24"/>
          <w:szCs w:val="24"/>
        </w:rPr>
        <w:t xml:space="preserve"> to clinical practice</w:t>
      </w:r>
      <w:r w:rsidRPr="005C1007">
        <w:rPr>
          <w:rFonts w:cs="Times New Roman"/>
          <w:sz w:val="24"/>
          <w:szCs w:val="24"/>
        </w:rPr>
        <w:t xml:space="preserve"> (13</w:t>
      </w:r>
      <w:r w:rsidRPr="005C1007">
        <w:rPr>
          <w:rFonts w:cs="Times New Roman"/>
          <w:sz w:val="24"/>
          <w:szCs w:val="24"/>
          <w:vertAlign w:val="superscript"/>
        </w:rPr>
        <w:t>th</w:t>
      </w:r>
      <w:r w:rsidRPr="005C1007">
        <w:rPr>
          <w:rFonts w:cs="Times New Roman"/>
          <w:sz w:val="24"/>
          <w:szCs w:val="24"/>
        </w:rPr>
        <w:t xml:space="preserve"> </w:t>
      </w:r>
      <w:proofErr w:type="gramStart"/>
      <w:r w:rsidRPr="005C1007">
        <w:rPr>
          <w:rFonts w:cs="Times New Roman"/>
          <w:sz w:val="24"/>
          <w:szCs w:val="24"/>
        </w:rPr>
        <w:t>ed</w:t>
      </w:r>
      <w:proofErr w:type="gramEnd"/>
      <w:r w:rsidRPr="005C1007">
        <w:rPr>
          <w:rFonts w:cs="Times New Roman"/>
          <w:sz w:val="24"/>
          <w:szCs w:val="24"/>
        </w:rPr>
        <w:t>.). Philadelphia: Lippincott Williams &amp; Wilkins.</w:t>
      </w:r>
    </w:p>
    <w:p w:rsidR="00E1155C" w:rsidRPr="005C1007" w:rsidRDefault="00E1155C" w:rsidP="0024490F">
      <w:pPr>
        <w:spacing w:after="0" w:line="480" w:lineRule="auto"/>
        <w:ind w:left="720" w:hanging="720"/>
        <w:rPr>
          <w:rFonts w:cs="Times New Roman"/>
          <w:sz w:val="24"/>
          <w:szCs w:val="24"/>
        </w:rPr>
      </w:pPr>
      <w:proofErr w:type="spellStart"/>
      <w:r w:rsidRPr="005C1007">
        <w:rPr>
          <w:rFonts w:cs="Times New Roman"/>
          <w:sz w:val="24"/>
          <w:szCs w:val="24"/>
        </w:rPr>
        <w:t>Guse</w:t>
      </w:r>
      <w:proofErr w:type="spellEnd"/>
      <w:r w:rsidRPr="005C1007">
        <w:rPr>
          <w:rFonts w:cs="Times New Roman"/>
          <w:sz w:val="24"/>
          <w:szCs w:val="24"/>
        </w:rPr>
        <w:t xml:space="preserve">, </w:t>
      </w:r>
      <w:r w:rsidR="00F16830" w:rsidRPr="005C1007">
        <w:rPr>
          <w:rFonts w:cs="Times New Roman"/>
          <w:sz w:val="24"/>
          <w:szCs w:val="24"/>
        </w:rPr>
        <w:t xml:space="preserve">L.W. (2010). </w:t>
      </w:r>
      <w:proofErr w:type="gramStart"/>
      <w:r w:rsidR="00F16830" w:rsidRPr="005C1007">
        <w:rPr>
          <w:rFonts w:cs="Times New Roman"/>
          <w:sz w:val="24"/>
          <w:szCs w:val="24"/>
        </w:rPr>
        <w:t>Assessment of the older adult.</w:t>
      </w:r>
      <w:proofErr w:type="gramEnd"/>
      <w:r w:rsidR="00F16830" w:rsidRPr="005C1007">
        <w:rPr>
          <w:rFonts w:cs="Times New Roman"/>
          <w:sz w:val="24"/>
          <w:szCs w:val="24"/>
        </w:rPr>
        <w:t xml:space="preserve"> In K.L. </w:t>
      </w:r>
      <w:proofErr w:type="spellStart"/>
      <w:r w:rsidR="00F16830" w:rsidRPr="005C1007">
        <w:rPr>
          <w:rFonts w:cs="Times New Roman"/>
          <w:sz w:val="24"/>
          <w:szCs w:val="24"/>
        </w:rPr>
        <w:t>Mauk</w:t>
      </w:r>
      <w:proofErr w:type="spellEnd"/>
      <w:r w:rsidR="00F16830" w:rsidRPr="005C1007">
        <w:rPr>
          <w:rFonts w:cs="Times New Roman"/>
          <w:sz w:val="24"/>
          <w:szCs w:val="24"/>
        </w:rPr>
        <w:t xml:space="preserve"> (Ed.), </w:t>
      </w:r>
      <w:proofErr w:type="spellStart"/>
      <w:r w:rsidR="00F16830" w:rsidRPr="005C1007">
        <w:rPr>
          <w:rFonts w:cs="Times New Roman"/>
          <w:i/>
          <w:sz w:val="24"/>
          <w:szCs w:val="24"/>
        </w:rPr>
        <w:t>Gerontological</w:t>
      </w:r>
      <w:proofErr w:type="spellEnd"/>
      <w:r w:rsidR="00F16830" w:rsidRPr="005C1007">
        <w:rPr>
          <w:rFonts w:cs="Times New Roman"/>
          <w:i/>
          <w:sz w:val="24"/>
          <w:szCs w:val="24"/>
        </w:rPr>
        <w:t xml:space="preserve"> nursing: Competencies for care</w:t>
      </w:r>
      <w:r w:rsidR="00F16830" w:rsidRPr="005C1007">
        <w:rPr>
          <w:rFonts w:cs="Times New Roman"/>
          <w:sz w:val="24"/>
          <w:szCs w:val="24"/>
        </w:rPr>
        <w:t xml:space="preserve"> (2</w:t>
      </w:r>
      <w:r w:rsidR="00F16830" w:rsidRPr="005C1007">
        <w:rPr>
          <w:rFonts w:cs="Times New Roman"/>
          <w:sz w:val="24"/>
          <w:szCs w:val="24"/>
          <w:vertAlign w:val="superscript"/>
        </w:rPr>
        <w:t>nd</w:t>
      </w:r>
      <w:r w:rsidR="00F16830" w:rsidRPr="005C1007">
        <w:rPr>
          <w:rFonts w:cs="Times New Roman"/>
          <w:sz w:val="24"/>
          <w:szCs w:val="24"/>
        </w:rPr>
        <w:t xml:space="preserve"> ed., p. 232-258). Sudbury, Ma: Jones &amp; Bartlett.</w:t>
      </w:r>
    </w:p>
    <w:p w:rsidR="0024490F" w:rsidRPr="005C1007" w:rsidRDefault="00E1155C" w:rsidP="0024490F">
      <w:pPr>
        <w:spacing w:after="0" w:line="480" w:lineRule="auto"/>
        <w:ind w:left="720" w:hanging="720"/>
        <w:rPr>
          <w:rFonts w:cs="Times New Roman"/>
          <w:sz w:val="24"/>
          <w:szCs w:val="24"/>
        </w:rPr>
      </w:pPr>
      <w:r w:rsidRPr="005C1007">
        <w:rPr>
          <w:rFonts w:cs="Times New Roman"/>
          <w:sz w:val="24"/>
          <w:szCs w:val="24"/>
        </w:rPr>
        <w:t>Krieger-Blake, L.S. (2010). Promoting independence in later life.</w:t>
      </w:r>
      <w:r w:rsidR="0024490F" w:rsidRPr="005C1007">
        <w:rPr>
          <w:rFonts w:cs="Times New Roman"/>
          <w:sz w:val="24"/>
          <w:szCs w:val="24"/>
        </w:rPr>
        <w:t xml:space="preserve"> In K.L. </w:t>
      </w:r>
      <w:proofErr w:type="spellStart"/>
      <w:r w:rsidR="0024490F" w:rsidRPr="005C1007">
        <w:rPr>
          <w:rFonts w:cs="Times New Roman"/>
          <w:sz w:val="24"/>
          <w:szCs w:val="24"/>
        </w:rPr>
        <w:t>Mauk</w:t>
      </w:r>
      <w:proofErr w:type="spellEnd"/>
      <w:r w:rsidR="0024490F" w:rsidRPr="005C1007">
        <w:rPr>
          <w:rFonts w:cs="Times New Roman"/>
          <w:sz w:val="24"/>
          <w:szCs w:val="24"/>
        </w:rPr>
        <w:t xml:space="preserve"> (Ed.), </w:t>
      </w:r>
      <w:proofErr w:type="spellStart"/>
      <w:r w:rsidR="0024490F" w:rsidRPr="005C1007">
        <w:rPr>
          <w:rFonts w:cs="Times New Roman"/>
          <w:i/>
          <w:sz w:val="24"/>
          <w:szCs w:val="24"/>
        </w:rPr>
        <w:t>Gerontological</w:t>
      </w:r>
      <w:proofErr w:type="spellEnd"/>
      <w:r w:rsidR="0024490F" w:rsidRPr="005C1007">
        <w:rPr>
          <w:rFonts w:cs="Times New Roman"/>
          <w:i/>
          <w:sz w:val="24"/>
          <w:szCs w:val="24"/>
        </w:rPr>
        <w:t xml:space="preserve"> nursing: Competencies for care</w:t>
      </w:r>
      <w:r w:rsidR="0024490F" w:rsidRPr="005C1007">
        <w:rPr>
          <w:rFonts w:cs="Times New Roman"/>
          <w:sz w:val="24"/>
          <w:szCs w:val="24"/>
        </w:rPr>
        <w:t xml:space="preserve"> (2</w:t>
      </w:r>
      <w:r w:rsidR="0024490F" w:rsidRPr="005C1007">
        <w:rPr>
          <w:rFonts w:cs="Times New Roman"/>
          <w:sz w:val="24"/>
          <w:szCs w:val="24"/>
          <w:vertAlign w:val="superscript"/>
        </w:rPr>
        <w:t>nd</w:t>
      </w:r>
      <w:r w:rsidRPr="005C1007">
        <w:rPr>
          <w:rFonts w:cs="Times New Roman"/>
          <w:sz w:val="24"/>
          <w:szCs w:val="24"/>
        </w:rPr>
        <w:t xml:space="preserve"> ed., p. 300-325</w:t>
      </w:r>
      <w:r w:rsidR="0024490F" w:rsidRPr="005C1007">
        <w:rPr>
          <w:rFonts w:cs="Times New Roman"/>
          <w:sz w:val="24"/>
          <w:szCs w:val="24"/>
        </w:rPr>
        <w:t>). Sudbury, Ma: Jones &amp; Bartlett.</w:t>
      </w:r>
    </w:p>
    <w:p w:rsidR="00E1155C" w:rsidRPr="005C1007" w:rsidRDefault="00E1155C" w:rsidP="0024490F">
      <w:pPr>
        <w:spacing w:after="0" w:line="480" w:lineRule="auto"/>
        <w:ind w:left="720" w:hanging="720"/>
        <w:rPr>
          <w:rFonts w:cs="Times New Roman"/>
          <w:sz w:val="24"/>
          <w:szCs w:val="24"/>
        </w:rPr>
      </w:pPr>
      <w:proofErr w:type="spellStart"/>
      <w:r w:rsidRPr="005C1007">
        <w:rPr>
          <w:rFonts w:cs="Times New Roman"/>
          <w:sz w:val="24"/>
          <w:szCs w:val="24"/>
        </w:rPr>
        <w:t>Mauk</w:t>
      </w:r>
      <w:proofErr w:type="spellEnd"/>
      <w:r w:rsidRPr="005C1007">
        <w:rPr>
          <w:rFonts w:cs="Times New Roman"/>
          <w:sz w:val="24"/>
          <w:szCs w:val="24"/>
        </w:rPr>
        <w:t xml:space="preserve">, K.L. (2010). </w:t>
      </w:r>
      <w:proofErr w:type="gramStart"/>
      <w:r w:rsidRPr="005C1007">
        <w:rPr>
          <w:rFonts w:cs="Times New Roman"/>
          <w:sz w:val="24"/>
          <w:szCs w:val="24"/>
        </w:rPr>
        <w:t>Teaching older adults.</w:t>
      </w:r>
      <w:proofErr w:type="gramEnd"/>
      <w:r w:rsidRPr="005C1007">
        <w:rPr>
          <w:rFonts w:cs="Times New Roman"/>
          <w:sz w:val="24"/>
          <w:szCs w:val="24"/>
        </w:rPr>
        <w:t xml:space="preserve"> In K.L. </w:t>
      </w:r>
      <w:proofErr w:type="spellStart"/>
      <w:r w:rsidRPr="005C1007">
        <w:rPr>
          <w:rFonts w:cs="Times New Roman"/>
          <w:sz w:val="24"/>
          <w:szCs w:val="24"/>
        </w:rPr>
        <w:t>Mauk</w:t>
      </w:r>
      <w:proofErr w:type="spellEnd"/>
      <w:r w:rsidRPr="005C1007">
        <w:rPr>
          <w:rFonts w:cs="Times New Roman"/>
          <w:sz w:val="24"/>
          <w:szCs w:val="24"/>
        </w:rPr>
        <w:t xml:space="preserve"> (Ed.), </w:t>
      </w:r>
      <w:proofErr w:type="spellStart"/>
      <w:r w:rsidRPr="005C1007">
        <w:rPr>
          <w:rFonts w:cs="Times New Roman"/>
          <w:i/>
          <w:sz w:val="24"/>
          <w:szCs w:val="24"/>
        </w:rPr>
        <w:t>Gerontological</w:t>
      </w:r>
      <w:proofErr w:type="spellEnd"/>
      <w:r w:rsidRPr="005C1007">
        <w:rPr>
          <w:rFonts w:cs="Times New Roman"/>
          <w:i/>
          <w:sz w:val="24"/>
          <w:szCs w:val="24"/>
        </w:rPr>
        <w:t xml:space="preserve"> nursing: Competencies for care</w:t>
      </w:r>
      <w:r w:rsidRPr="005C1007">
        <w:rPr>
          <w:rFonts w:cs="Times New Roman"/>
          <w:sz w:val="24"/>
          <w:szCs w:val="24"/>
        </w:rPr>
        <w:t xml:space="preserve"> (2</w:t>
      </w:r>
      <w:r w:rsidRPr="005C1007">
        <w:rPr>
          <w:rFonts w:cs="Times New Roman"/>
          <w:sz w:val="24"/>
          <w:szCs w:val="24"/>
          <w:vertAlign w:val="superscript"/>
        </w:rPr>
        <w:t>nd</w:t>
      </w:r>
      <w:r w:rsidRPr="005C1007">
        <w:rPr>
          <w:rFonts w:cs="Times New Roman"/>
          <w:sz w:val="24"/>
          <w:szCs w:val="24"/>
        </w:rPr>
        <w:t xml:space="preserve"> ed., p. 284-299). Sudbury, Ma: Jones &amp; Bartlett.</w:t>
      </w:r>
    </w:p>
    <w:p w:rsidR="00E1155C" w:rsidRPr="0024490F" w:rsidRDefault="00E1155C" w:rsidP="0024490F">
      <w:pPr>
        <w:spacing w:after="0" w:line="480" w:lineRule="auto"/>
        <w:ind w:left="720" w:hanging="720"/>
        <w:rPr>
          <w:rFonts w:ascii="Times New Roman" w:hAnsi="Times New Roman" w:cs="Times New Roman"/>
          <w:sz w:val="24"/>
          <w:szCs w:val="24"/>
        </w:rPr>
      </w:pPr>
    </w:p>
    <w:p w:rsidR="0024490F" w:rsidRDefault="0024490F" w:rsidP="0024490F">
      <w:pPr>
        <w:spacing w:after="0"/>
      </w:pPr>
    </w:p>
    <w:sectPr w:rsidR="0024490F" w:rsidSect="005C1007">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10:46:00Z" w:initials="M">
    <w:p w:rsidR="00960FBB" w:rsidRDefault="00960FBB">
      <w:pPr>
        <w:pStyle w:val="CommentText"/>
      </w:pPr>
      <w:r>
        <w:rPr>
          <w:rStyle w:val="CommentReference"/>
        </w:rPr>
        <w:annotationRef/>
      </w:r>
      <w:r>
        <w:t>CAPITAL 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007" w:rsidRDefault="005C1007" w:rsidP="005C1007">
      <w:pPr>
        <w:spacing w:after="0" w:line="240" w:lineRule="auto"/>
      </w:pPr>
      <w:r>
        <w:separator/>
      </w:r>
    </w:p>
  </w:endnote>
  <w:endnote w:type="continuationSeparator" w:id="0">
    <w:p w:rsidR="005C1007" w:rsidRDefault="005C1007" w:rsidP="005C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007" w:rsidRDefault="005C1007" w:rsidP="005C1007">
      <w:pPr>
        <w:spacing w:after="0" w:line="240" w:lineRule="auto"/>
      </w:pPr>
      <w:r>
        <w:separator/>
      </w:r>
    </w:p>
  </w:footnote>
  <w:footnote w:type="continuationSeparator" w:id="0">
    <w:p w:rsidR="005C1007" w:rsidRDefault="005C1007" w:rsidP="005C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07" w:rsidRDefault="005C1007" w:rsidP="005C1007">
    <w:pPr>
      <w:pStyle w:val="Header"/>
    </w:pPr>
    <w:r w:rsidRPr="005C1007">
      <w:rPr>
        <w:sz w:val="20"/>
        <w:szCs w:val="20"/>
      </w:rPr>
      <w:t>CASE STUDY 5</w:t>
    </w:r>
    <w:r w:rsidRPr="005C1007">
      <w:rPr>
        <w:sz w:val="20"/>
        <w:szCs w:val="20"/>
      </w:rPr>
      <w:tab/>
    </w:r>
    <w:r w:rsidRPr="005C1007">
      <w:rPr>
        <w:sz w:val="20"/>
        <w:szCs w:val="20"/>
      </w:rPr>
      <w:tab/>
    </w:r>
    <w:sdt>
      <w:sdtPr>
        <w:rPr>
          <w:sz w:val="20"/>
          <w:szCs w:val="20"/>
        </w:rPr>
        <w:id w:val="95514390"/>
        <w:docPartObj>
          <w:docPartGallery w:val="Page Numbers (Top of Page)"/>
          <w:docPartUnique/>
        </w:docPartObj>
      </w:sdtPr>
      <w:sdtEndPr>
        <w:rPr>
          <w:sz w:val="22"/>
          <w:szCs w:val="22"/>
        </w:rPr>
      </w:sdtEndPr>
      <w:sdtContent>
        <w:r w:rsidR="002005C1" w:rsidRPr="005C1007">
          <w:rPr>
            <w:sz w:val="20"/>
            <w:szCs w:val="20"/>
          </w:rPr>
          <w:fldChar w:fldCharType="begin"/>
        </w:r>
        <w:r w:rsidRPr="005C1007">
          <w:rPr>
            <w:sz w:val="20"/>
            <w:szCs w:val="20"/>
          </w:rPr>
          <w:instrText xml:space="preserve"> PAGE   \* MERGEFORMAT </w:instrText>
        </w:r>
        <w:r w:rsidR="002005C1" w:rsidRPr="005C1007">
          <w:rPr>
            <w:sz w:val="20"/>
            <w:szCs w:val="20"/>
          </w:rPr>
          <w:fldChar w:fldCharType="separate"/>
        </w:r>
        <w:r w:rsidR="00960FBB">
          <w:rPr>
            <w:noProof/>
            <w:sz w:val="20"/>
            <w:szCs w:val="20"/>
          </w:rPr>
          <w:t>3</w:t>
        </w:r>
        <w:r w:rsidR="002005C1" w:rsidRPr="005C1007">
          <w:rPr>
            <w:sz w:val="20"/>
            <w:szCs w:val="20"/>
          </w:rPr>
          <w:fldChar w:fldCharType="end"/>
        </w:r>
      </w:sdtContent>
    </w:sdt>
  </w:p>
  <w:p w:rsidR="005C1007" w:rsidRDefault="005C1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07" w:rsidRPr="005C1007" w:rsidRDefault="005C1007">
    <w:pPr>
      <w:pStyle w:val="Header"/>
      <w:rPr>
        <w:sz w:val="20"/>
        <w:szCs w:val="20"/>
      </w:rPr>
    </w:pPr>
    <w:r w:rsidRPr="005C1007">
      <w:rPr>
        <w:sz w:val="20"/>
        <w:szCs w:val="20"/>
      </w:rPr>
      <w:t>Running head: CASE STUDY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4450"/>
    <w:rsid w:val="002005C1"/>
    <w:rsid w:val="0024490F"/>
    <w:rsid w:val="00286B4F"/>
    <w:rsid w:val="00507847"/>
    <w:rsid w:val="005B1393"/>
    <w:rsid w:val="005C1007"/>
    <w:rsid w:val="006A4450"/>
    <w:rsid w:val="007813D2"/>
    <w:rsid w:val="00960FBB"/>
    <w:rsid w:val="00976A01"/>
    <w:rsid w:val="00A574F1"/>
    <w:rsid w:val="00E1155C"/>
    <w:rsid w:val="00F16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007"/>
  </w:style>
  <w:style w:type="paragraph" w:styleId="Footer">
    <w:name w:val="footer"/>
    <w:basedOn w:val="Normal"/>
    <w:link w:val="FooterChar"/>
    <w:uiPriority w:val="99"/>
    <w:semiHidden/>
    <w:unhideWhenUsed/>
    <w:rsid w:val="005C10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1007"/>
  </w:style>
  <w:style w:type="paragraph" w:styleId="BalloonText">
    <w:name w:val="Balloon Text"/>
    <w:basedOn w:val="Normal"/>
    <w:link w:val="BalloonTextChar"/>
    <w:uiPriority w:val="99"/>
    <w:semiHidden/>
    <w:unhideWhenUsed/>
    <w:rsid w:val="005C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007"/>
    <w:rPr>
      <w:rFonts w:ascii="Tahoma" w:hAnsi="Tahoma" w:cs="Tahoma"/>
      <w:sz w:val="16"/>
      <w:szCs w:val="16"/>
    </w:rPr>
  </w:style>
  <w:style w:type="character" w:styleId="CommentReference">
    <w:name w:val="annotation reference"/>
    <w:basedOn w:val="DefaultParagraphFont"/>
    <w:uiPriority w:val="99"/>
    <w:semiHidden/>
    <w:unhideWhenUsed/>
    <w:rsid w:val="00960FBB"/>
    <w:rPr>
      <w:sz w:val="16"/>
      <w:szCs w:val="16"/>
    </w:rPr>
  </w:style>
  <w:style w:type="paragraph" w:styleId="CommentText">
    <w:name w:val="annotation text"/>
    <w:basedOn w:val="Normal"/>
    <w:link w:val="CommentTextChar"/>
    <w:uiPriority w:val="99"/>
    <w:semiHidden/>
    <w:unhideWhenUsed/>
    <w:rsid w:val="00960FBB"/>
    <w:pPr>
      <w:spacing w:line="240" w:lineRule="auto"/>
    </w:pPr>
    <w:rPr>
      <w:sz w:val="20"/>
      <w:szCs w:val="20"/>
    </w:rPr>
  </w:style>
  <w:style w:type="character" w:customStyle="1" w:styleId="CommentTextChar">
    <w:name w:val="Comment Text Char"/>
    <w:basedOn w:val="DefaultParagraphFont"/>
    <w:link w:val="CommentText"/>
    <w:uiPriority w:val="99"/>
    <w:semiHidden/>
    <w:rsid w:val="00960FBB"/>
    <w:rPr>
      <w:sz w:val="20"/>
      <w:szCs w:val="20"/>
    </w:rPr>
  </w:style>
  <w:style w:type="paragraph" w:styleId="CommentSubject">
    <w:name w:val="annotation subject"/>
    <w:basedOn w:val="CommentText"/>
    <w:next w:val="CommentText"/>
    <w:link w:val="CommentSubjectChar"/>
    <w:uiPriority w:val="99"/>
    <w:semiHidden/>
    <w:unhideWhenUsed/>
    <w:rsid w:val="00960FBB"/>
    <w:rPr>
      <w:b/>
      <w:bCs/>
    </w:rPr>
  </w:style>
  <w:style w:type="character" w:customStyle="1" w:styleId="CommentSubjectChar">
    <w:name w:val="Comment Subject Char"/>
    <w:basedOn w:val="CommentTextChar"/>
    <w:link w:val="CommentSubject"/>
    <w:uiPriority w:val="99"/>
    <w:semiHidden/>
    <w:rsid w:val="00960F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495</Words>
  <Characters>2823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Denise Musser</dc:creator>
  <cp:lastModifiedBy>Mary</cp:lastModifiedBy>
  <cp:revision>2</cp:revision>
  <dcterms:created xsi:type="dcterms:W3CDTF">2011-06-20T15:47:00Z</dcterms:created>
  <dcterms:modified xsi:type="dcterms:W3CDTF">2011-06-20T15:47:00Z</dcterms:modified>
</cp:coreProperties>
</file>