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Pr="0027321D" w:rsidRDefault="0027321D" w:rsidP="007A5009">
      <w:pPr>
        <w:spacing w:line="336" w:lineRule="atLeast"/>
        <w:rPr>
          <w:rFonts w:ascii="Times New Roman" w:eastAsia="Times New Roman" w:hAnsi="Times New Roman" w:cs="Times New Roman"/>
          <w:color w:val="FF0000"/>
          <w:sz w:val="24"/>
          <w:szCs w:val="24"/>
        </w:rPr>
      </w:pPr>
      <w:r w:rsidRPr="0027321D">
        <w:rPr>
          <w:rFonts w:ascii="Times New Roman" w:eastAsia="Times New Roman" w:hAnsi="Times New Roman" w:cs="Times New Roman"/>
          <w:color w:val="FF0000"/>
          <w:sz w:val="24"/>
          <w:szCs w:val="24"/>
        </w:rPr>
        <w:t>Haley double space your papers. It is suppose to be APA format.  13/15</w:t>
      </w: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BC7256">
      <w:pPr>
        <w:spacing w:line="336" w:lineRule="atLeast"/>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Case Study 5.2 Frailty</w:t>
      </w:r>
    </w:p>
    <w:p w:rsidR="00BC7256" w:rsidRDefault="00BC7256" w:rsidP="00BC7256">
      <w:pPr>
        <w:spacing w:line="336" w:lineRule="atLeast"/>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Haley Tappendorf</w:t>
      </w:r>
    </w:p>
    <w:p w:rsidR="00BC7256" w:rsidRDefault="00BC7256" w:rsidP="00BC7256">
      <w:pPr>
        <w:spacing w:line="336" w:lineRule="atLeast"/>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Lakeview College of Nursing</w:t>
      </w: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BC7256">
      <w:pPr>
        <w:spacing w:line="336" w:lineRule="atLeast"/>
        <w:jc w:val="center"/>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7A5009">
      <w:pPr>
        <w:spacing w:line="336" w:lineRule="atLeast"/>
        <w:rPr>
          <w:rFonts w:ascii="Times New Roman" w:eastAsia="Times New Roman" w:hAnsi="Times New Roman" w:cs="Times New Roman"/>
          <w:color w:val="444444"/>
          <w:sz w:val="24"/>
          <w:szCs w:val="24"/>
        </w:rPr>
      </w:pPr>
    </w:p>
    <w:p w:rsidR="00BC7256" w:rsidRDefault="00BC7256" w:rsidP="00BC7256">
      <w:pPr>
        <w:spacing w:line="336" w:lineRule="atLeast"/>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CASE STUDY 5.2 FRAILTY</w:t>
      </w:r>
    </w:p>
    <w:p w:rsidR="005D2002" w:rsidRPr="00BC7256" w:rsidRDefault="00762DFD" w:rsidP="00BC7256">
      <w:pPr>
        <w:pStyle w:val="ListParagraph"/>
        <w:numPr>
          <w:ilvl w:val="0"/>
          <w:numId w:val="5"/>
        </w:numPr>
        <w:spacing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 xml:space="preserve">“Frailty is the manifestation of changes in the physiological state of a person </w:t>
      </w:r>
      <w:commentRangeStart w:id="0"/>
      <w:r w:rsidRPr="00BC7256">
        <w:rPr>
          <w:rFonts w:ascii="Times New Roman" w:eastAsia="Times New Roman" w:hAnsi="Times New Roman" w:cs="Times New Roman"/>
          <w:color w:val="444444"/>
          <w:sz w:val="24"/>
          <w:szCs w:val="24"/>
        </w:rPr>
        <w:t xml:space="preserve">and the inability to maintain homeostasis. </w:t>
      </w:r>
      <w:proofErr w:type="spellStart"/>
      <w:r w:rsidRPr="00BC7256">
        <w:rPr>
          <w:rFonts w:ascii="Times New Roman" w:eastAsia="Times New Roman" w:hAnsi="Times New Roman" w:cs="Times New Roman"/>
          <w:color w:val="444444"/>
          <w:sz w:val="24"/>
          <w:szCs w:val="24"/>
        </w:rPr>
        <w:t>Comorbidity</w:t>
      </w:r>
      <w:proofErr w:type="spellEnd"/>
      <w:r w:rsidRPr="00BC7256">
        <w:rPr>
          <w:rFonts w:ascii="Times New Roman" w:eastAsia="Times New Roman" w:hAnsi="Times New Roman" w:cs="Times New Roman"/>
          <w:color w:val="444444"/>
          <w:sz w:val="24"/>
          <w:szCs w:val="24"/>
        </w:rPr>
        <w:t xml:space="preserve"> refers to the occurrence of two or more distinguishably different disease processes in a person. Disability relates to the inability to carry out activities of daily living.” (Fried, </w:t>
      </w:r>
      <w:proofErr w:type="spellStart"/>
      <w:r w:rsidRPr="00BC7256">
        <w:rPr>
          <w:rFonts w:ascii="Times New Roman" w:eastAsia="Times New Roman" w:hAnsi="Times New Roman" w:cs="Times New Roman"/>
          <w:color w:val="444444"/>
          <w:sz w:val="24"/>
          <w:szCs w:val="24"/>
        </w:rPr>
        <w:t>Ferrucci</w:t>
      </w:r>
      <w:proofErr w:type="spellEnd"/>
      <w:r w:rsidRPr="00BC7256">
        <w:rPr>
          <w:rFonts w:ascii="Times New Roman" w:eastAsia="Times New Roman" w:hAnsi="Times New Roman" w:cs="Times New Roman"/>
          <w:color w:val="444444"/>
          <w:sz w:val="24"/>
          <w:szCs w:val="24"/>
        </w:rPr>
        <w:t>, Darer, Williamson, &amp; Anderson</w:t>
      </w:r>
      <w:commentRangeEnd w:id="0"/>
      <w:r w:rsidR="009C23E3">
        <w:rPr>
          <w:rStyle w:val="CommentReference"/>
        </w:rPr>
        <w:commentReference w:id="0"/>
      </w:r>
      <w:r w:rsidRPr="00BC7256">
        <w:rPr>
          <w:rFonts w:ascii="Times New Roman" w:eastAsia="Times New Roman" w:hAnsi="Times New Roman" w:cs="Times New Roman"/>
          <w:color w:val="444444"/>
          <w:sz w:val="24"/>
          <w:szCs w:val="24"/>
        </w:rPr>
        <w:t xml:space="preserve">, </w:t>
      </w:r>
      <w:commentRangeStart w:id="1"/>
      <w:r w:rsidRPr="00BC7256">
        <w:rPr>
          <w:rFonts w:ascii="Times New Roman" w:eastAsia="Times New Roman" w:hAnsi="Times New Roman" w:cs="Times New Roman"/>
          <w:color w:val="444444"/>
          <w:sz w:val="24"/>
          <w:szCs w:val="24"/>
        </w:rPr>
        <w:t>2004</w:t>
      </w:r>
      <w:commentRangeEnd w:id="1"/>
      <w:r w:rsidR="009C23E3">
        <w:rPr>
          <w:rStyle w:val="CommentReference"/>
        </w:rPr>
        <w:commentReference w:id="1"/>
      </w:r>
      <w:r w:rsidRPr="00BC7256">
        <w:rPr>
          <w:rFonts w:ascii="Times New Roman" w:eastAsia="Times New Roman" w:hAnsi="Times New Roman" w:cs="Times New Roman"/>
          <w:color w:val="444444"/>
          <w:sz w:val="24"/>
          <w:szCs w:val="24"/>
        </w:rPr>
        <w:t>)</w:t>
      </w:r>
    </w:p>
    <w:p w:rsidR="00762DFD" w:rsidRPr="00BC7256" w:rsidRDefault="00762DFD" w:rsidP="007A5009">
      <w:pPr>
        <w:pStyle w:val="ListParagraph"/>
        <w:numPr>
          <w:ilvl w:val="0"/>
          <w:numId w:val="5"/>
        </w:numPr>
        <w:spacing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Syndrome is defined as “a complex of signs and symptoms resulting from a common cause or appearing in combination to present a clinical picture of a disease or inherited abnormality”</w:t>
      </w:r>
      <w:r w:rsidR="00BE1F37" w:rsidRPr="00BC7256">
        <w:rPr>
          <w:rFonts w:ascii="Times New Roman" w:eastAsia="Times New Roman" w:hAnsi="Times New Roman" w:cs="Times New Roman"/>
          <w:color w:val="444444"/>
          <w:sz w:val="24"/>
          <w:szCs w:val="24"/>
        </w:rPr>
        <w:t xml:space="preserve"> (Mosby, 2006, p.1807). F</w:t>
      </w:r>
      <w:r w:rsidRPr="00BC7256">
        <w:rPr>
          <w:rFonts w:ascii="Times New Roman" w:eastAsia="Times New Roman" w:hAnsi="Times New Roman" w:cs="Times New Roman"/>
          <w:color w:val="444444"/>
          <w:sz w:val="24"/>
          <w:szCs w:val="24"/>
        </w:rPr>
        <w:t xml:space="preserve">railty is a syndrome because it is recognized by its signs and syndromes. </w:t>
      </w:r>
    </w:p>
    <w:p w:rsidR="00762DFD" w:rsidRPr="00BC7256" w:rsidRDefault="00762DFD" w:rsidP="007A5009">
      <w:pPr>
        <w:pStyle w:val="ListParagraph"/>
        <w:numPr>
          <w:ilvl w:val="0"/>
          <w:numId w:val="5"/>
        </w:numPr>
        <w:spacing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 xml:space="preserve">Mrs. Gibson gets 1 point for shrinking, 1 point for exhaustion, and 1 point for low physical activity. She gets a score of 3 which classifies her as frail. </w:t>
      </w:r>
    </w:p>
    <w:p w:rsidR="00762DFD" w:rsidRPr="00BC7256" w:rsidRDefault="00BE1F37" w:rsidP="00BE1F37">
      <w:pPr>
        <w:pStyle w:val="ListParagraph"/>
        <w:numPr>
          <w:ilvl w:val="0"/>
          <w:numId w:val="5"/>
        </w:numPr>
        <w:spacing w:after="0"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w:t>
      </w:r>
      <w:r w:rsidR="00762DFD" w:rsidRPr="00BC7256">
        <w:rPr>
          <w:rFonts w:ascii="Times New Roman" w:eastAsia="Times New Roman" w:hAnsi="Times New Roman" w:cs="Times New Roman"/>
          <w:color w:val="444444"/>
          <w:sz w:val="24"/>
          <w:szCs w:val="24"/>
        </w:rPr>
        <w:t>Primary frailty has no underlying, pathological causative factors, whereas secondary frailty originates from underlying, pathological causative fac</w:t>
      </w:r>
      <w:r w:rsidRPr="00BC7256">
        <w:rPr>
          <w:rFonts w:ascii="Times New Roman" w:eastAsia="Times New Roman" w:hAnsi="Times New Roman" w:cs="Times New Roman"/>
          <w:color w:val="444444"/>
          <w:sz w:val="24"/>
          <w:szCs w:val="24"/>
        </w:rPr>
        <w:t xml:space="preserve">tors” </w:t>
      </w:r>
      <w:r w:rsidR="00762DFD" w:rsidRPr="00BC7256">
        <w:rPr>
          <w:rFonts w:ascii="Times New Roman" w:eastAsia="Times New Roman" w:hAnsi="Times New Roman" w:cs="Times New Roman"/>
          <w:color w:val="444444"/>
          <w:sz w:val="24"/>
          <w:szCs w:val="24"/>
        </w:rPr>
        <w:t xml:space="preserve">(Fried, </w:t>
      </w:r>
      <w:proofErr w:type="spellStart"/>
      <w:r w:rsidR="00762DFD" w:rsidRPr="00BC7256">
        <w:rPr>
          <w:rFonts w:ascii="Times New Roman" w:eastAsia="Times New Roman" w:hAnsi="Times New Roman" w:cs="Times New Roman"/>
          <w:color w:val="444444"/>
          <w:sz w:val="24"/>
          <w:szCs w:val="24"/>
        </w:rPr>
        <w:t>Ferrucci</w:t>
      </w:r>
      <w:proofErr w:type="spellEnd"/>
      <w:r w:rsidR="00762DFD" w:rsidRPr="00BC7256">
        <w:rPr>
          <w:rFonts w:ascii="Times New Roman" w:eastAsia="Times New Roman" w:hAnsi="Times New Roman" w:cs="Times New Roman"/>
          <w:color w:val="444444"/>
          <w:sz w:val="24"/>
          <w:szCs w:val="24"/>
        </w:rPr>
        <w:t>, Darer,</w:t>
      </w:r>
      <w:r w:rsidRPr="00BC7256">
        <w:rPr>
          <w:rFonts w:ascii="Times New Roman" w:eastAsia="Times New Roman" w:hAnsi="Times New Roman" w:cs="Times New Roman"/>
          <w:color w:val="444444"/>
          <w:sz w:val="24"/>
          <w:szCs w:val="24"/>
        </w:rPr>
        <w:t xml:space="preserve"> Williamson, &amp; Anderson, </w:t>
      </w:r>
      <w:commentRangeStart w:id="2"/>
      <w:r w:rsidRPr="00BC7256">
        <w:rPr>
          <w:rFonts w:ascii="Times New Roman" w:eastAsia="Times New Roman" w:hAnsi="Times New Roman" w:cs="Times New Roman"/>
          <w:color w:val="444444"/>
          <w:sz w:val="24"/>
          <w:szCs w:val="24"/>
        </w:rPr>
        <w:t>2004</w:t>
      </w:r>
      <w:commentRangeEnd w:id="2"/>
      <w:r w:rsidR="009C23E3">
        <w:rPr>
          <w:rStyle w:val="CommentReference"/>
        </w:rPr>
        <w:commentReference w:id="2"/>
      </w:r>
      <w:r w:rsidRPr="00BC7256">
        <w:rPr>
          <w:rFonts w:ascii="Times New Roman" w:eastAsia="Times New Roman" w:hAnsi="Times New Roman" w:cs="Times New Roman"/>
          <w:color w:val="444444"/>
          <w:sz w:val="24"/>
          <w:szCs w:val="24"/>
        </w:rPr>
        <w:t xml:space="preserve">). </w:t>
      </w:r>
    </w:p>
    <w:p w:rsidR="00BE1F37" w:rsidRPr="00BC7256" w:rsidRDefault="00BE1F37" w:rsidP="00BE1F37">
      <w:pPr>
        <w:pStyle w:val="ListParagraph"/>
        <w:numPr>
          <w:ilvl w:val="0"/>
          <w:numId w:val="5"/>
        </w:numPr>
        <w:spacing w:after="0"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 xml:space="preserve">They physiologic based risk factors for frailty include activated inflammation, immune system dysfunction, anemia, endocrine system alteration, underweight or overweight, and </w:t>
      </w:r>
      <w:commentRangeStart w:id="3"/>
      <w:r w:rsidRPr="00BC7256">
        <w:rPr>
          <w:rFonts w:ascii="Times New Roman" w:eastAsia="Times New Roman" w:hAnsi="Times New Roman" w:cs="Times New Roman"/>
          <w:color w:val="444444"/>
          <w:sz w:val="24"/>
          <w:szCs w:val="24"/>
        </w:rPr>
        <w:t>age</w:t>
      </w:r>
      <w:commentRangeEnd w:id="3"/>
      <w:r w:rsidR="009C23E3">
        <w:rPr>
          <w:rStyle w:val="CommentReference"/>
        </w:rPr>
        <w:commentReference w:id="3"/>
      </w:r>
      <w:r w:rsidRPr="00BC7256">
        <w:rPr>
          <w:rFonts w:ascii="Times New Roman" w:eastAsia="Times New Roman" w:hAnsi="Times New Roman" w:cs="Times New Roman"/>
          <w:color w:val="444444"/>
          <w:sz w:val="24"/>
          <w:szCs w:val="24"/>
        </w:rPr>
        <w:t xml:space="preserve">. </w:t>
      </w:r>
    </w:p>
    <w:p w:rsidR="00762DFD" w:rsidRPr="00BC7256" w:rsidRDefault="00BA22C9" w:rsidP="00BA22C9">
      <w:pPr>
        <w:pStyle w:val="ListParagraph"/>
        <w:numPr>
          <w:ilvl w:val="0"/>
          <w:numId w:val="5"/>
        </w:numPr>
        <w:spacing w:after="0"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 xml:space="preserve">Some </w:t>
      </w:r>
      <w:proofErr w:type="spellStart"/>
      <w:r w:rsidRPr="00BC7256">
        <w:rPr>
          <w:rFonts w:ascii="Times New Roman" w:eastAsia="Times New Roman" w:hAnsi="Times New Roman" w:cs="Times New Roman"/>
          <w:color w:val="444444"/>
          <w:sz w:val="24"/>
          <w:szCs w:val="24"/>
        </w:rPr>
        <w:t>sociodemographic</w:t>
      </w:r>
      <w:proofErr w:type="spellEnd"/>
      <w:r w:rsidRPr="00BC7256">
        <w:rPr>
          <w:rFonts w:ascii="Times New Roman" w:eastAsia="Times New Roman" w:hAnsi="Times New Roman" w:cs="Times New Roman"/>
          <w:color w:val="444444"/>
          <w:sz w:val="24"/>
          <w:szCs w:val="24"/>
        </w:rPr>
        <w:t xml:space="preserve"> and psychological risk factors for frailty include being female due to already reduced muscle mass from men. It also includes being in a low socioeconomic status due to the lifestyle factors that are common in lower socioeconomic status. Additionally, non-white people are more likely to become frail. Education also has a role in risk factors for frailty with higher risk for frailty showing up in lower educated people. Depression also causes symptoms that lead to frailty as </w:t>
      </w:r>
      <w:commentRangeStart w:id="4"/>
      <w:r w:rsidRPr="00BC7256">
        <w:rPr>
          <w:rFonts w:ascii="Times New Roman" w:eastAsia="Times New Roman" w:hAnsi="Times New Roman" w:cs="Times New Roman"/>
          <w:color w:val="444444"/>
          <w:sz w:val="24"/>
          <w:szCs w:val="24"/>
        </w:rPr>
        <w:t>well</w:t>
      </w:r>
      <w:commentRangeEnd w:id="4"/>
      <w:r w:rsidR="009C23E3">
        <w:rPr>
          <w:rStyle w:val="CommentReference"/>
        </w:rPr>
        <w:commentReference w:id="4"/>
      </w:r>
      <w:r w:rsidRPr="00BC7256">
        <w:rPr>
          <w:rFonts w:ascii="Times New Roman" w:eastAsia="Times New Roman" w:hAnsi="Times New Roman" w:cs="Times New Roman"/>
          <w:color w:val="444444"/>
          <w:sz w:val="24"/>
          <w:szCs w:val="24"/>
        </w:rPr>
        <w:t xml:space="preserve">. </w:t>
      </w:r>
    </w:p>
    <w:p w:rsidR="00BA22C9" w:rsidRPr="00BC7256" w:rsidRDefault="00BA22C9" w:rsidP="00BA22C9">
      <w:pPr>
        <w:pStyle w:val="ListParagraph"/>
        <w:numPr>
          <w:ilvl w:val="0"/>
          <w:numId w:val="5"/>
        </w:numPr>
        <w:spacing w:after="0"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 xml:space="preserve">Risk factors for frailty that cannot be modified include female gender, race and ethnicity, and </w:t>
      </w:r>
      <w:commentRangeStart w:id="5"/>
      <w:r w:rsidRPr="00BC7256">
        <w:rPr>
          <w:rFonts w:ascii="Times New Roman" w:eastAsia="Times New Roman" w:hAnsi="Times New Roman" w:cs="Times New Roman"/>
          <w:color w:val="444444"/>
          <w:sz w:val="24"/>
          <w:szCs w:val="24"/>
        </w:rPr>
        <w:t>age</w:t>
      </w:r>
      <w:commentRangeEnd w:id="5"/>
      <w:r w:rsidR="009C23E3">
        <w:rPr>
          <w:rStyle w:val="CommentReference"/>
        </w:rPr>
        <w:commentReference w:id="5"/>
      </w:r>
      <w:r w:rsidRPr="00BC7256">
        <w:rPr>
          <w:rFonts w:ascii="Times New Roman" w:eastAsia="Times New Roman" w:hAnsi="Times New Roman" w:cs="Times New Roman"/>
          <w:color w:val="444444"/>
          <w:sz w:val="24"/>
          <w:szCs w:val="24"/>
        </w:rPr>
        <w:t xml:space="preserve">. </w:t>
      </w:r>
    </w:p>
    <w:p w:rsidR="00CE43B0" w:rsidRPr="00BC7256" w:rsidRDefault="00CE43B0" w:rsidP="00BA22C9">
      <w:pPr>
        <w:pStyle w:val="ListParagraph"/>
        <w:numPr>
          <w:ilvl w:val="0"/>
          <w:numId w:val="5"/>
        </w:numPr>
        <w:spacing w:after="0" w:line="336" w:lineRule="atLeast"/>
        <w:rPr>
          <w:rFonts w:ascii="Times New Roman" w:eastAsia="Times New Roman" w:hAnsi="Times New Roman" w:cs="Times New Roman"/>
          <w:color w:val="444444"/>
          <w:sz w:val="24"/>
          <w:szCs w:val="24"/>
        </w:rPr>
      </w:pPr>
      <w:proofErr w:type="spellStart"/>
      <w:r w:rsidRPr="00BC7256">
        <w:rPr>
          <w:rFonts w:ascii="Times New Roman" w:eastAsia="Times New Roman" w:hAnsi="Times New Roman" w:cs="Times New Roman"/>
          <w:color w:val="444444"/>
          <w:sz w:val="24"/>
          <w:szCs w:val="24"/>
        </w:rPr>
        <w:t>Carotenoids</w:t>
      </w:r>
      <w:proofErr w:type="spellEnd"/>
      <w:r w:rsidRPr="00BC7256">
        <w:rPr>
          <w:rFonts w:ascii="Times New Roman" w:eastAsia="Times New Roman" w:hAnsi="Times New Roman" w:cs="Times New Roman"/>
          <w:color w:val="444444"/>
          <w:sz w:val="24"/>
          <w:szCs w:val="24"/>
        </w:rPr>
        <w:t xml:space="preserve">, Vitamin D, </w:t>
      </w:r>
      <w:proofErr w:type="spellStart"/>
      <w:r w:rsidRPr="00BC7256">
        <w:rPr>
          <w:rFonts w:ascii="Times New Roman" w:eastAsia="Times New Roman" w:hAnsi="Times New Roman" w:cs="Times New Roman"/>
          <w:color w:val="444444"/>
          <w:sz w:val="24"/>
          <w:szCs w:val="24"/>
        </w:rPr>
        <w:t>creatine</w:t>
      </w:r>
      <w:proofErr w:type="spellEnd"/>
      <w:r w:rsidRPr="00BC7256">
        <w:rPr>
          <w:rFonts w:ascii="Times New Roman" w:eastAsia="Times New Roman" w:hAnsi="Times New Roman" w:cs="Times New Roman"/>
          <w:color w:val="444444"/>
          <w:sz w:val="24"/>
          <w:szCs w:val="24"/>
        </w:rPr>
        <w:t xml:space="preserve">, and DHEA are all nutritional supplements that can be used to combat frailty. </w:t>
      </w:r>
    </w:p>
    <w:p w:rsidR="00BA22C9" w:rsidRPr="00BC7256" w:rsidRDefault="00CE43B0" w:rsidP="00BA22C9">
      <w:pPr>
        <w:pStyle w:val="ListParagraph"/>
        <w:numPr>
          <w:ilvl w:val="0"/>
          <w:numId w:val="5"/>
        </w:numPr>
        <w:spacing w:after="0"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 xml:space="preserve">Tai chi is a form of exercise that the elderly can do to help improve balance and strength. It also helps with low activity levels, and weakness. If tai chi becomes part of the regular routine, it can lead to fewer falls and improved </w:t>
      </w:r>
      <w:commentRangeStart w:id="6"/>
      <w:r w:rsidRPr="00BC7256">
        <w:rPr>
          <w:rFonts w:ascii="Times New Roman" w:eastAsia="Times New Roman" w:hAnsi="Times New Roman" w:cs="Times New Roman"/>
          <w:color w:val="444444"/>
          <w:sz w:val="24"/>
          <w:szCs w:val="24"/>
        </w:rPr>
        <w:t>ambulation</w:t>
      </w:r>
      <w:commentRangeEnd w:id="6"/>
      <w:r w:rsidR="009C23E3">
        <w:rPr>
          <w:rStyle w:val="CommentReference"/>
        </w:rPr>
        <w:commentReference w:id="6"/>
      </w:r>
      <w:r w:rsidRPr="00BC7256">
        <w:rPr>
          <w:rFonts w:ascii="Times New Roman" w:eastAsia="Times New Roman" w:hAnsi="Times New Roman" w:cs="Times New Roman"/>
          <w:color w:val="444444"/>
          <w:sz w:val="24"/>
          <w:szCs w:val="24"/>
        </w:rPr>
        <w:t xml:space="preserve">. </w:t>
      </w:r>
    </w:p>
    <w:p w:rsidR="00CE43B0" w:rsidRDefault="00CE43B0" w:rsidP="00BA22C9">
      <w:pPr>
        <w:pStyle w:val="ListParagraph"/>
        <w:numPr>
          <w:ilvl w:val="0"/>
          <w:numId w:val="5"/>
        </w:numPr>
        <w:spacing w:after="0" w:line="336" w:lineRule="atLeast"/>
        <w:rPr>
          <w:rFonts w:ascii="Times New Roman" w:eastAsia="Times New Roman" w:hAnsi="Times New Roman" w:cs="Times New Roman"/>
          <w:color w:val="444444"/>
          <w:sz w:val="24"/>
          <w:szCs w:val="24"/>
        </w:rPr>
      </w:pPr>
      <w:r w:rsidRPr="00BC7256">
        <w:rPr>
          <w:rFonts w:ascii="Times New Roman" w:eastAsia="Times New Roman" w:hAnsi="Times New Roman" w:cs="Times New Roman"/>
          <w:color w:val="444444"/>
          <w:sz w:val="24"/>
          <w:szCs w:val="24"/>
        </w:rPr>
        <w:t xml:space="preserve">Facilities and agencies use universal design in their buildings. It is important to maintain a safe living space. For elderly patients, their facilities should be designed without the use of stairs and incorporated ramps for easy access to patients in wheelchairs. Doorways should all be </w:t>
      </w:r>
      <w:r w:rsidR="00BC7256" w:rsidRPr="00BC7256">
        <w:rPr>
          <w:rFonts w:ascii="Times New Roman" w:eastAsia="Times New Roman" w:hAnsi="Times New Roman" w:cs="Times New Roman"/>
          <w:color w:val="444444"/>
          <w:sz w:val="24"/>
          <w:szCs w:val="24"/>
        </w:rPr>
        <w:t xml:space="preserve">wide and accessible. Exits should be clearly marked.  </w:t>
      </w:r>
    </w:p>
    <w:p w:rsidR="00BC7256" w:rsidRDefault="00BC7256" w:rsidP="00BC7256">
      <w:pPr>
        <w:spacing w:after="0" w:line="336" w:lineRule="atLeast"/>
        <w:rPr>
          <w:rFonts w:ascii="Times New Roman" w:eastAsia="Times New Roman" w:hAnsi="Times New Roman" w:cs="Times New Roman"/>
          <w:color w:val="444444"/>
          <w:sz w:val="24"/>
          <w:szCs w:val="24"/>
        </w:rPr>
      </w:pPr>
    </w:p>
    <w:p w:rsidR="009C23E3" w:rsidRPr="009C23E3" w:rsidRDefault="009C23E3" w:rsidP="009C23E3">
      <w:pPr>
        <w:autoSpaceDE w:val="0"/>
        <w:autoSpaceDN w:val="0"/>
        <w:adjustRightInd w:val="0"/>
        <w:spacing w:after="0" w:line="240" w:lineRule="auto"/>
        <w:rPr>
          <w:rFonts w:ascii="ITCGaramondStd-Bk" w:hAnsi="ITCGaramondStd-Bk" w:cs="ITCGaramondStd-Bk"/>
          <w:color w:val="FF0000"/>
          <w:sz w:val="20"/>
          <w:szCs w:val="20"/>
        </w:rPr>
      </w:pPr>
      <w:r>
        <w:rPr>
          <w:rFonts w:ascii="Times New Roman" w:eastAsia="Times New Roman" w:hAnsi="Times New Roman" w:cs="Times New Roman"/>
          <w:color w:val="444444"/>
          <w:sz w:val="24"/>
          <w:szCs w:val="24"/>
        </w:rPr>
        <w:t xml:space="preserve"> </w:t>
      </w:r>
      <w:r w:rsidRPr="009C23E3">
        <w:rPr>
          <w:rFonts w:ascii="ITCGaramondStd-Bk" w:hAnsi="ITCGaramondStd-Bk" w:cs="ITCGaramondStd-Bk"/>
          <w:color w:val="FF0000"/>
          <w:sz w:val="20"/>
          <w:szCs w:val="20"/>
        </w:rPr>
        <w:t>Installing standard electrical receptacles higher than usual above the floor, so they are in easy reach of everyone;</w:t>
      </w:r>
    </w:p>
    <w:p w:rsidR="00BC7256" w:rsidRPr="009C23E3" w:rsidRDefault="009C23E3" w:rsidP="009C23E3">
      <w:pPr>
        <w:autoSpaceDE w:val="0"/>
        <w:autoSpaceDN w:val="0"/>
        <w:adjustRightInd w:val="0"/>
        <w:spacing w:after="0" w:line="240" w:lineRule="auto"/>
        <w:rPr>
          <w:rFonts w:ascii="ITCGaramondStd-Bk" w:hAnsi="ITCGaramondStd-Bk" w:cs="ITCGaramondStd-Bk"/>
          <w:color w:val="FF0000"/>
          <w:sz w:val="20"/>
          <w:szCs w:val="20"/>
        </w:rPr>
      </w:pPr>
      <w:r w:rsidRPr="009C23E3">
        <w:rPr>
          <w:rFonts w:ascii="ITCGaramondStd-Bk" w:hAnsi="ITCGaramondStd-Bk" w:cs="ITCGaramondStd-Bk"/>
          <w:color w:val="FF0000"/>
          <w:sz w:val="20"/>
          <w:szCs w:val="20"/>
        </w:rPr>
        <w:lastRenderedPageBreak/>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9C23E3" w:rsidRDefault="009C23E3" w:rsidP="009C23E3">
      <w:pPr>
        <w:autoSpaceDE w:val="0"/>
        <w:autoSpaceDN w:val="0"/>
        <w:adjustRightInd w:val="0"/>
        <w:spacing w:after="0" w:line="240" w:lineRule="auto"/>
        <w:rPr>
          <w:rFonts w:ascii="Times New Roman" w:eastAsia="Times New Roman" w:hAnsi="Times New Roman" w:cs="Times New Roman"/>
          <w:color w:val="444444"/>
          <w:sz w:val="24"/>
          <w:szCs w:val="24"/>
        </w:rPr>
      </w:pPr>
    </w:p>
    <w:p w:rsidR="00BC7256" w:rsidRDefault="00BC7256" w:rsidP="00BC7256">
      <w:pPr>
        <w:spacing w:after="0" w:line="336" w:lineRule="atLeast"/>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References</w:t>
      </w:r>
    </w:p>
    <w:p w:rsidR="00D87D7C" w:rsidRDefault="00D87D7C" w:rsidP="00BC7256">
      <w:pPr>
        <w:spacing w:after="0" w:line="336" w:lineRule="atLeast"/>
        <w:jc w:val="center"/>
        <w:rPr>
          <w:rFonts w:ascii="Times New Roman" w:eastAsia="Times New Roman" w:hAnsi="Times New Roman" w:cs="Times New Roman"/>
          <w:color w:val="444444"/>
          <w:sz w:val="24"/>
          <w:szCs w:val="24"/>
        </w:rPr>
      </w:pPr>
    </w:p>
    <w:p w:rsidR="00BC7256" w:rsidRPr="00D87D7C" w:rsidRDefault="00BC7256" w:rsidP="009C23E3">
      <w:pPr>
        <w:spacing w:after="0" w:line="480" w:lineRule="auto"/>
        <w:rPr>
          <w:rFonts w:ascii="Times New Roman" w:hAnsi="Times New Roman" w:cs="Times New Roman"/>
          <w:sz w:val="24"/>
          <w:szCs w:val="24"/>
        </w:rPr>
      </w:pPr>
      <w:proofErr w:type="spellStart"/>
      <w:r w:rsidRPr="00D87D7C">
        <w:rPr>
          <w:rFonts w:ascii="Times New Roman" w:hAnsi="Times New Roman" w:cs="Times New Roman"/>
          <w:sz w:val="24"/>
          <w:szCs w:val="24"/>
        </w:rPr>
        <w:t>Cherniack</w:t>
      </w:r>
      <w:proofErr w:type="spellEnd"/>
      <w:r w:rsidRPr="00D87D7C">
        <w:rPr>
          <w:rFonts w:ascii="Times New Roman" w:hAnsi="Times New Roman" w:cs="Times New Roman"/>
          <w:sz w:val="24"/>
          <w:szCs w:val="24"/>
        </w:rPr>
        <w:t>, E.P</w:t>
      </w:r>
      <w:proofErr w:type="gramStart"/>
      <w:r w:rsidRPr="00D87D7C">
        <w:rPr>
          <w:rFonts w:ascii="Times New Roman" w:hAnsi="Times New Roman" w:cs="Times New Roman"/>
          <w:sz w:val="24"/>
          <w:szCs w:val="24"/>
        </w:rPr>
        <w:t xml:space="preserve">,  </w:t>
      </w:r>
      <w:proofErr w:type="spellStart"/>
      <w:r w:rsidRPr="00D87D7C">
        <w:rPr>
          <w:rFonts w:ascii="Times New Roman" w:hAnsi="Times New Roman" w:cs="Times New Roman"/>
          <w:sz w:val="24"/>
          <w:szCs w:val="24"/>
        </w:rPr>
        <w:t>Florez</w:t>
      </w:r>
      <w:proofErr w:type="spellEnd"/>
      <w:proofErr w:type="gramEnd"/>
      <w:r w:rsidRPr="00D87D7C">
        <w:rPr>
          <w:rFonts w:ascii="Times New Roman" w:hAnsi="Times New Roman" w:cs="Times New Roman"/>
          <w:sz w:val="24"/>
          <w:szCs w:val="24"/>
        </w:rPr>
        <w:t>, H.J.,</w:t>
      </w:r>
      <w:r w:rsidR="009C23E3">
        <w:rPr>
          <w:rFonts w:ascii="Times New Roman" w:hAnsi="Times New Roman" w:cs="Times New Roman"/>
          <w:sz w:val="24"/>
          <w:szCs w:val="24"/>
        </w:rPr>
        <w:t xml:space="preserve"> </w:t>
      </w:r>
      <w:r w:rsidR="009C23E3">
        <w:rPr>
          <w:rFonts w:ascii="Times New Roman" w:hAnsi="Times New Roman" w:cs="Times New Roman"/>
          <w:color w:val="FF0000"/>
          <w:sz w:val="24"/>
          <w:szCs w:val="24"/>
        </w:rPr>
        <w:t>&amp;</w:t>
      </w:r>
      <w:r w:rsidR="009C23E3">
        <w:rPr>
          <w:rFonts w:ascii="Times New Roman" w:hAnsi="Times New Roman" w:cs="Times New Roman"/>
          <w:sz w:val="24"/>
          <w:szCs w:val="24"/>
        </w:rPr>
        <w:t xml:space="preserve"> </w:t>
      </w:r>
      <w:proofErr w:type="spellStart"/>
      <w:r w:rsidRPr="00D87D7C">
        <w:rPr>
          <w:rFonts w:ascii="Times New Roman" w:hAnsi="Times New Roman" w:cs="Times New Roman"/>
          <w:sz w:val="24"/>
          <w:szCs w:val="24"/>
        </w:rPr>
        <w:t>Troen</w:t>
      </w:r>
      <w:proofErr w:type="spellEnd"/>
      <w:r w:rsidRPr="00D87D7C">
        <w:rPr>
          <w:rFonts w:ascii="Times New Roman" w:hAnsi="Times New Roman" w:cs="Times New Roman"/>
          <w:sz w:val="24"/>
          <w:szCs w:val="24"/>
        </w:rPr>
        <w:t xml:space="preserve">, B.R. (2007). </w:t>
      </w:r>
      <w:proofErr w:type="gramStart"/>
      <w:r w:rsidRPr="009C23E3">
        <w:rPr>
          <w:rFonts w:ascii="Times New Roman" w:hAnsi="Times New Roman" w:cs="Times New Roman"/>
          <w:i/>
          <w:color w:val="FF0000"/>
          <w:sz w:val="24"/>
          <w:szCs w:val="24"/>
        </w:rPr>
        <w:t xml:space="preserve">Emerging therapies to treat frailty </w:t>
      </w:r>
      <w:r w:rsidR="009C23E3">
        <w:rPr>
          <w:rFonts w:ascii="Times New Roman" w:hAnsi="Times New Roman" w:cs="Times New Roman"/>
          <w:i/>
          <w:color w:val="FF0000"/>
          <w:sz w:val="24"/>
          <w:szCs w:val="24"/>
        </w:rPr>
        <w:tab/>
      </w:r>
      <w:r w:rsidRPr="009C23E3">
        <w:rPr>
          <w:rFonts w:ascii="Times New Roman" w:hAnsi="Times New Roman" w:cs="Times New Roman"/>
          <w:i/>
          <w:color w:val="FF0000"/>
          <w:sz w:val="24"/>
          <w:szCs w:val="24"/>
        </w:rPr>
        <w:t>syndrome in the elderly.</w:t>
      </w:r>
      <w:proofErr w:type="gramEnd"/>
      <w:r w:rsidRPr="009C23E3">
        <w:rPr>
          <w:rFonts w:ascii="Times New Roman" w:hAnsi="Times New Roman" w:cs="Times New Roman"/>
          <w:i/>
          <w:color w:val="FF0000"/>
          <w:sz w:val="24"/>
          <w:szCs w:val="24"/>
        </w:rPr>
        <w:t xml:space="preserve"> </w:t>
      </w:r>
      <w:r w:rsidRPr="00D87D7C">
        <w:rPr>
          <w:rFonts w:ascii="Times New Roman" w:hAnsi="Times New Roman" w:cs="Times New Roman"/>
          <w:sz w:val="24"/>
          <w:szCs w:val="24"/>
        </w:rPr>
        <w:t xml:space="preserve">Retrieved from </w:t>
      </w:r>
    </w:p>
    <w:p w:rsidR="00BC7256" w:rsidRPr="00D87D7C" w:rsidRDefault="009C23E3" w:rsidP="009C23E3">
      <w:pPr>
        <w:spacing w:after="0" w:line="480" w:lineRule="auto"/>
        <w:rPr>
          <w:rFonts w:ascii="Times New Roman" w:hAnsi="Times New Roman" w:cs="Times New Roman"/>
          <w:sz w:val="24"/>
          <w:szCs w:val="24"/>
        </w:rPr>
      </w:pPr>
      <w:r>
        <w:tab/>
      </w:r>
      <w:hyperlink r:id="rId8" w:history="1">
        <w:r w:rsidRPr="00D87D7C">
          <w:rPr>
            <w:rStyle w:val="Hyperlink"/>
            <w:rFonts w:ascii="Times New Roman" w:hAnsi="Times New Roman" w:cs="Times New Roman"/>
            <w:sz w:val="24"/>
            <w:szCs w:val="24"/>
          </w:rPr>
          <w:t>http://findarticles.com/p/articles/mi_m0FDN/is_3_12/ai_n27421818/pg_5/?tag=content;c</w:t>
        </w:r>
        <w:r>
          <w:rPr>
            <w:rStyle w:val="Hyperlink"/>
            <w:rFonts w:ascii="Times New Roman" w:hAnsi="Times New Roman" w:cs="Times New Roman"/>
            <w:sz w:val="24"/>
            <w:szCs w:val="24"/>
          </w:rPr>
          <w:tab/>
        </w:r>
        <w:r w:rsidRPr="00D87D7C">
          <w:rPr>
            <w:rStyle w:val="Hyperlink"/>
            <w:rFonts w:ascii="Times New Roman" w:hAnsi="Times New Roman" w:cs="Times New Roman"/>
            <w:sz w:val="24"/>
            <w:szCs w:val="24"/>
          </w:rPr>
          <w:t>ol1</w:t>
        </w:r>
      </w:hyperlink>
    </w:p>
    <w:p w:rsidR="009C23E3" w:rsidRDefault="009C23E3" w:rsidP="009C23E3">
      <w:pPr>
        <w:spacing w:after="0" w:line="480" w:lineRule="auto"/>
        <w:rPr>
          <w:rFonts w:ascii="Times New Roman" w:hAnsi="Times New Roman" w:cs="Times New Roman"/>
          <w:sz w:val="24"/>
          <w:szCs w:val="24"/>
        </w:rPr>
      </w:pPr>
    </w:p>
    <w:p w:rsidR="00BC7256" w:rsidRPr="00D87D7C" w:rsidRDefault="00BC7256" w:rsidP="009C23E3">
      <w:pPr>
        <w:spacing w:after="0" w:line="480" w:lineRule="auto"/>
        <w:rPr>
          <w:rFonts w:ascii="Times New Roman" w:hAnsi="Times New Roman" w:cs="Times New Roman"/>
          <w:sz w:val="24"/>
          <w:szCs w:val="24"/>
        </w:rPr>
      </w:pPr>
      <w:proofErr w:type="gramStart"/>
      <w:r w:rsidRPr="00D87D7C">
        <w:rPr>
          <w:rFonts w:ascii="Times New Roman" w:hAnsi="Times New Roman" w:cs="Times New Roman"/>
          <w:sz w:val="24"/>
          <w:szCs w:val="24"/>
        </w:rPr>
        <w:t>Espinoza, S.E.,</w:t>
      </w:r>
      <w:r w:rsidR="009C23E3">
        <w:rPr>
          <w:rFonts w:ascii="Times New Roman" w:hAnsi="Times New Roman" w:cs="Times New Roman"/>
          <w:sz w:val="24"/>
          <w:szCs w:val="24"/>
        </w:rPr>
        <w:t xml:space="preserve"> </w:t>
      </w:r>
      <w:r w:rsidR="009C23E3" w:rsidRPr="009C23E3">
        <w:rPr>
          <w:rFonts w:ascii="Times New Roman" w:hAnsi="Times New Roman" w:cs="Times New Roman"/>
          <w:color w:val="FF0000"/>
          <w:sz w:val="24"/>
          <w:szCs w:val="24"/>
        </w:rPr>
        <w:t>&amp;</w:t>
      </w:r>
      <w:r w:rsidRPr="00D87D7C">
        <w:rPr>
          <w:rFonts w:ascii="Times New Roman" w:hAnsi="Times New Roman" w:cs="Times New Roman"/>
          <w:sz w:val="24"/>
          <w:szCs w:val="24"/>
        </w:rPr>
        <w:t xml:space="preserve"> Fried, L. (2007).</w:t>
      </w:r>
      <w:proofErr w:type="gramEnd"/>
      <w:r w:rsidRPr="00D87D7C">
        <w:rPr>
          <w:rFonts w:ascii="Times New Roman" w:hAnsi="Times New Roman" w:cs="Times New Roman"/>
          <w:sz w:val="24"/>
          <w:szCs w:val="24"/>
        </w:rPr>
        <w:t xml:space="preserve"> </w:t>
      </w:r>
      <w:proofErr w:type="gramStart"/>
      <w:r w:rsidRPr="00D87D7C">
        <w:rPr>
          <w:rFonts w:ascii="Times New Roman" w:hAnsi="Times New Roman" w:cs="Times New Roman"/>
          <w:sz w:val="24"/>
          <w:szCs w:val="24"/>
        </w:rPr>
        <w:t>Risk factors for frailty</w:t>
      </w:r>
      <w:r w:rsidR="00D87D7C" w:rsidRPr="00D87D7C">
        <w:rPr>
          <w:rFonts w:ascii="Times New Roman" w:hAnsi="Times New Roman" w:cs="Times New Roman"/>
          <w:sz w:val="24"/>
          <w:szCs w:val="24"/>
        </w:rPr>
        <w:t xml:space="preserve"> in the older adult.</w:t>
      </w:r>
      <w:proofErr w:type="gramEnd"/>
      <w:r w:rsidR="00D87D7C" w:rsidRPr="00D87D7C">
        <w:rPr>
          <w:rFonts w:ascii="Times New Roman" w:hAnsi="Times New Roman" w:cs="Times New Roman"/>
          <w:sz w:val="24"/>
          <w:szCs w:val="24"/>
        </w:rPr>
        <w:t xml:space="preserve"> </w:t>
      </w:r>
      <w:r w:rsidR="00D87D7C" w:rsidRPr="00D87D7C">
        <w:rPr>
          <w:rFonts w:ascii="Times New Roman" w:hAnsi="Times New Roman" w:cs="Times New Roman"/>
          <w:i/>
          <w:sz w:val="24"/>
          <w:szCs w:val="24"/>
        </w:rPr>
        <w:t>Clinical Geriatrics</w:t>
      </w:r>
      <w:r w:rsidR="009C23E3">
        <w:rPr>
          <w:rFonts w:ascii="Times New Roman" w:hAnsi="Times New Roman" w:cs="Times New Roman"/>
          <w:i/>
          <w:sz w:val="24"/>
          <w:szCs w:val="24"/>
        </w:rPr>
        <w:t xml:space="preserve"> </w:t>
      </w:r>
      <w:r w:rsidR="009C23E3">
        <w:rPr>
          <w:rFonts w:ascii="Times New Roman" w:hAnsi="Times New Roman" w:cs="Times New Roman"/>
          <w:i/>
          <w:sz w:val="24"/>
          <w:szCs w:val="24"/>
        </w:rPr>
        <w:tab/>
      </w:r>
      <w:r w:rsidR="009C23E3" w:rsidRPr="009C23E3">
        <w:rPr>
          <w:rFonts w:ascii="Times New Roman" w:hAnsi="Times New Roman" w:cs="Times New Roman"/>
          <w:i/>
          <w:color w:val="FF0000"/>
          <w:sz w:val="24"/>
          <w:szCs w:val="24"/>
        </w:rPr>
        <w:t>15</w:t>
      </w:r>
      <w:r w:rsidR="009C23E3" w:rsidRPr="009C23E3">
        <w:rPr>
          <w:rFonts w:ascii="Times New Roman" w:hAnsi="Times New Roman" w:cs="Times New Roman"/>
          <w:color w:val="FF0000"/>
          <w:sz w:val="24"/>
          <w:szCs w:val="24"/>
        </w:rPr>
        <w:t>(6</w:t>
      </w:r>
      <w:proofErr w:type="gramStart"/>
      <w:r w:rsidR="009C23E3" w:rsidRPr="009C23E3">
        <w:rPr>
          <w:rFonts w:ascii="Times New Roman" w:hAnsi="Times New Roman" w:cs="Times New Roman"/>
          <w:i/>
          <w:color w:val="FF0000"/>
          <w:sz w:val="24"/>
          <w:szCs w:val="24"/>
        </w:rPr>
        <w:t>)</w:t>
      </w:r>
      <w:r w:rsidR="009C23E3">
        <w:rPr>
          <w:rFonts w:ascii="Times New Roman" w:hAnsi="Times New Roman" w:cs="Times New Roman"/>
          <w:i/>
          <w:color w:val="FF0000"/>
          <w:sz w:val="24"/>
          <w:szCs w:val="24"/>
        </w:rPr>
        <w:t xml:space="preserve">  </w:t>
      </w:r>
      <w:r w:rsidR="00D87D7C" w:rsidRPr="00D87D7C">
        <w:rPr>
          <w:rFonts w:ascii="Times New Roman" w:hAnsi="Times New Roman" w:cs="Times New Roman"/>
          <w:sz w:val="24"/>
          <w:szCs w:val="24"/>
        </w:rPr>
        <w:t>Retrieved</w:t>
      </w:r>
      <w:proofErr w:type="gramEnd"/>
      <w:r w:rsidR="00D87D7C" w:rsidRPr="00D87D7C">
        <w:rPr>
          <w:rFonts w:ascii="Times New Roman" w:hAnsi="Times New Roman" w:cs="Times New Roman"/>
          <w:sz w:val="24"/>
          <w:szCs w:val="24"/>
        </w:rPr>
        <w:t xml:space="preserve"> from </w:t>
      </w:r>
      <w:r w:rsidR="009C23E3">
        <w:rPr>
          <w:rFonts w:ascii="Times New Roman" w:hAnsi="Times New Roman" w:cs="Times New Roman"/>
          <w:sz w:val="24"/>
          <w:szCs w:val="24"/>
        </w:rPr>
        <w:tab/>
      </w:r>
      <w:hyperlink r:id="rId9" w:history="1">
        <w:r w:rsidR="00D87D7C" w:rsidRPr="00D87D7C">
          <w:rPr>
            <w:rStyle w:val="Hyperlink"/>
            <w:rFonts w:ascii="Times New Roman" w:hAnsi="Times New Roman" w:cs="Times New Roman"/>
            <w:sz w:val="24"/>
            <w:szCs w:val="24"/>
          </w:rPr>
          <w:t>http://www.imsersomayores.csic.es/documentos/boletin/2007/numero-52/art-07-07-</w:t>
        </w:r>
        <w:r w:rsidR="009C23E3">
          <w:rPr>
            <w:rStyle w:val="Hyperlink"/>
            <w:rFonts w:ascii="Times New Roman" w:hAnsi="Times New Roman" w:cs="Times New Roman"/>
            <w:sz w:val="24"/>
            <w:szCs w:val="24"/>
          </w:rPr>
          <w:tab/>
        </w:r>
        <w:r w:rsidR="00D87D7C" w:rsidRPr="00D87D7C">
          <w:rPr>
            <w:rStyle w:val="Hyperlink"/>
            <w:rFonts w:ascii="Times New Roman" w:hAnsi="Times New Roman" w:cs="Times New Roman"/>
            <w:sz w:val="24"/>
            <w:szCs w:val="24"/>
          </w:rPr>
          <w:t>01.pdf</w:t>
        </w:r>
      </w:hyperlink>
      <w:r w:rsidR="00D87D7C" w:rsidRPr="00D87D7C">
        <w:rPr>
          <w:rFonts w:ascii="Times New Roman" w:hAnsi="Times New Roman" w:cs="Times New Roman"/>
          <w:sz w:val="24"/>
          <w:szCs w:val="24"/>
        </w:rPr>
        <w:br/>
      </w:r>
    </w:p>
    <w:p w:rsidR="00D87D7C" w:rsidRPr="00D87D7C" w:rsidRDefault="00D87D7C" w:rsidP="009C23E3">
      <w:pPr>
        <w:widowControl w:val="0"/>
        <w:autoSpaceDE w:val="0"/>
        <w:autoSpaceDN w:val="0"/>
        <w:adjustRightInd w:val="0"/>
        <w:spacing w:after="0" w:line="480" w:lineRule="auto"/>
        <w:rPr>
          <w:rFonts w:ascii="Times New Roman" w:hAnsi="Times New Roman" w:cs="Times New Roman"/>
          <w:sz w:val="24"/>
          <w:szCs w:val="24"/>
        </w:rPr>
      </w:pPr>
      <w:r w:rsidRPr="00D87D7C">
        <w:rPr>
          <w:rFonts w:ascii="Times New Roman" w:hAnsi="Times New Roman" w:cs="Times New Roman"/>
          <w:sz w:val="24"/>
          <w:szCs w:val="24"/>
        </w:rPr>
        <w:t xml:space="preserve">Mosby. (2006). </w:t>
      </w:r>
      <w:r w:rsidRPr="00D87D7C">
        <w:rPr>
          <w:rFonts w:ascii="Times New Roman" w:hAnsi="Times New Roman" w:cs="Times New Roman"/>
          <w:i/>
          <w:sz w:val="24"/>
          <w:szCs w:val="24"/>
        </w:rPr>
        <w:t xml:space="preserve">Mosby’s dictionary of medicine, nursing&amp; health </w:t>
      </w:r>
      <w:r w:rsidRPr="0027321D">
        <w:rPr>
          <w:rFonts w:ascii="Times New Roman" w:hAnsi="Times New Roman" w:cs="Times New Roman"/>
          <w:sz w:val="24"/>
          <w:szCs w:val="24"/>
        </w:rPr>
        <w:t>professions</w:t>
      </w:r>
      <w:r w:rsidR="0027321D">
        <w:rPr>
          <w:rFonts w:ascii="Times New Roman" w:hAnsi="Times New Roman" w:cs="Times New Roman"/>
          <w:sz w:val="24"/>
          <w:szCs w:val="24"/>
        </w:rPr>
        <w:t xml:space="preserve"> </w:t>
      </w:r>
      <w:r w:rsidR="009C23E3">
        <w:rPr>
          <w:rFonts w:ascii="Times New Roman" w:hAnsi="Times New Roman" w:cs="Times New Roman"/>
          <w:color w:val="FF0000"/>
          <w:sz w:val="24"/>
          <w:szCs w:val="24"/>
        </w:rPr>
        <w:t>(7</w:t>
      </w:r>
      <w:r w:rsidR="009C23E3" w:rsidRPr="009C23E3">
        <w:rPr>
          <w:rFonts w:ascii="Times New Roman" w:hAnsi="Times New Roman" w:cs="Times New Roman"/>
          <w:color w:val="FF0000"/>
          <w:sz w:val="24"/>
          <w:szCs w:val="24"/>
          <w:vertAlign w:val="superscript"/>
        </w:rPr>
        <w:t>th</w:t>
      </w:r>
      <w:r w:rsidR="009C23E3">
        <w:rPr>
          <w:rFonts w:ascii="Times New Roman" w:hAnsi="Times New Roman" w:cs="Times New Roman"/>
          <w:color w:val="FF0000"/>
          <w:sz w:val="24"/>
          <w:szCs w:val="24"/>
        </w:rPr>
        <w:t xml:space="preserve"> </w:t>
      </w:r>
      <w:proofErr w:type="gramStart"/>
      <w:r w:rsidR="009C23E3">
        <w:rPr>
          <w:rFonts w:ascii="Times New Roman" w:hAnsi="Times New Roman" w:cs="Times New Roman"/>
          <w:color w:val="FF0000"/>
          <w:sz w:val="24"/>
          <w:szCs w:val="24"/>
        </w:rPr>
        <w:t>ed</w:t>
      </w:r>
      <w:proofErr w:type="gramEnd"/>
      <w:r w:rsidR="009C23E3">
        <w:rPr>
          <w:rFonts w:ascii="Times New Roman" w:hAnsi="Times New Roman" w:cs="Times New Roman"/>
          <w:color w:val="FF0000"/>
          <w:sz w:val="24"/>
          <w:szCs w:val="24"/>
        </w:rPr>
        <w:t xml:space="preserve">.). </w:t>
      </w:r>
      <w:proofErr w:type="spellStart"/>
      <w:r w:rsidR="009C23E3">
        <w:rPr>
          <w:rFonts w:ascii="Times New Roman" w:hAnsi="Times New Roman" w:cs="Times New Roman"/>
          <w:color w:val="FF0000"/>
          <w:sz w:val="24"/>
          <w:szCs w:val="24"/>
        </w:rPr>
        <w:t>St.</w:t>
      </w:r>
      <w:r w:rsidRPr="00D87D7C">
        <w:rPr>
          <w:rFonts w:ascii="Times New Roman" w:hAnsi="Times New Roman" w:cs="Times New Roman"/>
          <w:sz w:val="24"/>
          <w:szCs w:val="24"/>
        </w:rPr>
        <w:t>Louis</w:t>
      </w:r>
      <w:proofErr w:type="spellEnd"/>
      <w:r w:rsidR="009C23E3">
        <w:rPr>
          <w:rFonts w:ascii="Times New Roman" w:hAnsi="Times New Roman" w:cs="Times New Roman"/>
          <w:color w:val="FF0000"/>
          <w:sz w:val="24"/>
          <w:szCs w:val="24"/>
        </w:rPr>
        <w:t>:</w:t>
      </w:r>
      <w:r w:rsidRPr="00D87D7C">
        <w:rPr>
          <w:rFonts w:ascii="Times New Roman" w:hAnsi="Times New Roman" w:cs="Times New Roman"/>
          <w:sz w:val="24"/>
          <w:szCs w:val="24"/>
        </w:rPr>
        <w:t xml:space="preserve"> </w:t>
      </w:r>
      <w:r w:rsidR="009C23E3">
        <w:rPr>
          <w:rFonts w:ascii="Times New Roman" w:hAnsi="Times New Roman" w:cs="Times New Roman"/>
          <w:sz w:val="24"/>
          <w:szCs w:val="24"/>
        </w:rPr>
        <w:tab/>
      </w:r>
      <w:r w:rsidRPr="00D87D7C">
        <w:rPr>
          <w:rFonts w:ascii="Times New Roman" w:hAnsi="Times New Roman" w:cs="Times New Roman"/>
          <w:sz w:val="24"/>
          <w:szCs w:val="24"/>
        </w:rPr>
        <w:t xml:space="preserve">Elsevier Mosby. </w:t>
      </w:r>
    </w:p>
    <w:p w:rsidR="00D87D7C" w:rsidRPr="00D87D7C" w:rsidRDefault="00D87D7C" w:rsidP="009C23E3">
      <w:pPr>
        <w:spacing w:after="0" w:line="480" w:lineRule="auto"/>
        <w:rPr>
          <w:rFonts w:ascii="Times New Roman" w:eastAsia="Times New Roman" w:hAnsi="Times New Roman" w:cs="Times New Roman"/>
          <w:color w:val="444444"/>
          <w:sz w:val="24"/>
          <w:szCs w:val="24"/>
        </w:rPr>
      </w:pPr>
    </w:p>
    <w:p w:rsidR="00D87D7C" w:rsidRPr="00D87D7C" w:rsidRDefault="00D87D7C" w:rsidP="009C23E3">
      <w:pPr>
        <w:spacing w:line="480" w:lineRule="auto"/>
        <w:outlineLvl w:val="3"/>
        <w:rPr>
          <w:rFonts w:ascii="Times New Roman" w:eastAsia="Times New Roman" w:hAnsi="Times New Roman" w:cs="Times New Roman"/>
          <w:bCs/>
          <w:i/>
          <w:color w:val="444444"/>
          <w:sz w:val="24"/>
          <w:szCs w:val="24"/>
        </w:rPr>
      </w:pPr>
      <w:proofErr w:type="spellStart"/>
      <w:r w:rsidRPr="00D87D7C">
        <w:rPr>
          <w:rFonts w:ascii="Times New Roman" w:eastAsia="Times New Roman" w:hAnsi="Times New Roman" w:cs="Times New Roman"/>
          <w:bCs/>
          <w:color w:val="444444"/>
          <w:sz w:val="24"/>
          <w:szCs w:val="24"/>
        </w:rPr>
        <w:t>Benefield</w:t>
      </w:r>
      <w:proofErr w:type="spellEnd"/>
      <w:r w:rsidRPr="00D87D7C">
        <w:rPr>
          <w:rFonts w:ascii="Times New Roman" w:eastAsia="Times New Roman" w:hAnsi="Times New Roman" w:cs="Times New Roman"/>
          <w:bCs/>
          <w:color w:val="444444"/>
          <w:sz w:val="24"/>
          <w:szCs w:val="24"/>
        </w:rPr>
        <w:t>, L.E.,</w:t>
      </w:r>
      <w:r w:rsidR="009C23E3">
        <w:rPr>
          <w:rFonts w:ascii="Times New Roman" w:eastAsia="Times New Roman" w:hAnsi="Times New Roman" w:cs="Times New Roman"/>
          <w:bCs/>
          <w:color w:val="444444"/>
          <w:sz w:val="24"/>
          <w:szCs w:val="24"/>
        </w:rPr>
        <w:t xml:space="preserve"> </w:t>
      </w:r>
      <w:proofErr w:type="gramStart"/>
      <w:r w:rsidR="009C23E3">
        <w:rPr>
          <w:rFonts w:ascii="Times New Roman" w:eastAsia="Times New Roman" w:hAnsi="Times New Roman" w:cs="Times New Roman"/>
          <w:bCs/>
          <w:color w:val="FF0000"/>
          <w:sz w:val="24"/>
          <w:szCs w:val="24"/>
        </w:rPr>
        <w:t>&amp;</w:t>
      </w:r>
      <w:r w:rsidR="009C23E3">
        <w:rPr>
          <w:rFonts w:ascii="Times New Roman" w:eastAsia="Times New Roman" w:hAnsi="Times New Roman" w:cs="Times New Roman"/>
          <w:bCs/>
          <w:color w:val="444444"/>
          <w:sz w:val="24"/>
          <w:szCs w:val="24"/>
        </w:rPr>
        <w:t xml:space="preserve"> </w:t>
      </w:r>
      <w:r w:rsidRPr="00D87D7C">
        <w:rPr>
          <w:rFonts w:ascii="Times New Roman" w:eastAsia="Times New Roman" w:hAnsi="Times New Roman" w:cs="Times New Roman"/>
          <w:bCs/>
          <w:color w:val="444444"/>
          <w:sz w:val="24"/>
          <w:szCs w:val="24"/>
        </w:rPr>
        <w:t xml:space="preserve"> </w:t>
      </w:r>
      <w:proofErr w:type="spellStart"/>
      <w:r w:rsidRPr="00D87D7C">
        <w:rPr>
          <w:rFonts w:ascii="Times New Roman" w:eastAsia="Times New Roman" w:hAnsi="Times New Roman" w:cs="Times New Roman"/>
          <w:bCs/>
          <w:color w:val="444444"/>
          <w:sz w:val="24"/>
          <w:szCs w:val="24"/>
        </w:rPr>
        <w:t>Higbee</w:t>
      </w:r>
      <w:proofErr w:type="spellEnd"/>
      <w:proofErr w:type="gramEnd"/>
      <w:r w:rsidRPr="00D87D7C">
        <w:rPr>
          <w:rFonts w:ascii="Times New Roman" w:eastAsia="Times New Roman" w:hAnsi="Times New Roman" w:cs="Times New Roman"/>
          <w:bCs/>
          <w:color w:val="444444"/>
          <w:sz w:val="24"/>
          <w:szCs w:val="24"/>
        </w:rPr>
        <w:t xml:space="preserve">, R. L. (2007). </w:t>
      </w:r>
      <w:proofErr w:type="gramStart"/>
      <w:r w:rsidRPr="00D87D7C">
        <w:rPr>
          <w:rFonts w:ascii="Times New Roman" w:eastAsia="Times New Roman" w:hAnsi="Times New Roman" w:cs="Times New Roman"/>
          <w:bCs/>
          <w:color w:val="444444"/>
          <w:sz w:val="24"/>
          <w:szCs w:val="24"/>
        </w:rPr>
        <w:t>Frailty and its implications for care.</w:t>
      </w:r>
      <w:proofErr w:type="gramEnd"/>
      <w:r w:rsidRPr="00D87D7C">
        <w:rPr>
          <w:rFonts w:ascii="Times New Roman" w:eastAsia="Times New Roman" w:hAnsi="Times New Roman" w:cs="Times New Roman"/>
          <w:bCs/>
          <w:color w:val="444444"/>
          <w:sz w:val="24"/>
          <w:szCs w:val="24"/>
        </w:rPr>
        <w:t xml:space="preserve"> </w:t>
      </w:r>
      <w:r w:rsidRPr="00D87D7C">
        <w:rPr>
          <w:rFonts w:ascii="Times New Roman" w:eastAsia="Times New Roman" w:hAnsi="Times New Roman" w:cs="Times New Roman"/>
          <w:bCs/>
          <w:i/>
          <w:color w:val="444444"/>
          <w:sz w:val="24"/>
          <w:szCs w:val="24"/>
        </w:rPr>
        <w:t xml:space="preserve">Hartford </w:t>
      </w:r>
      <w:r w:rsidR="009C23E3">
        <w:rPr>
          <w:rFonts w:ascii="Times New Roman" w:eastAsia="Times New Roman" w:hAnsi="Times New Roman" w:cs="Times New Roman"/>
          <w:bCs/>
          <w:i/>
          <w:color w:val="FF0000"/>
          <w:sz w:val="24"/>
          <w:szCs w:val="24"/>
        </w:rPr>
        <w:t>I</w:t>
      </w:r>
      <w:r w:rsidRPr="00D87D7C">
        <w:rPr>
          <w:rFonts w:ascii="Times New Roman" w:eastAsia="Times New Roman" w:hAnsi="Times New Roman" w:cs="Times New Roman"/>
          <w:bCs/>
          <w:i/>
          <w:color w:val="444444"/>
          <w:sz w:val="24"/>
          <w:szCs w:val="24"/>
        </w:rPr>
        <w:t xml:space="preserve">nstitute </w:t>
      </w:r>
    </w:p>
    <w:p w:rsidR="00D87D7C" w:rsidRDefault="00D87D7C" w:rsidP="009C23E3">
      <w:pPr>
        <w:spacing w:line="480" w:lineRule="auto"/>
        <w:outlineLvl w:val="3"/>
        <w:rPr>
          <w:rFonts w:ascii="Times New Roman" w:eastAsia="Times New Roman" w:hAnsi="Times New Roman" w:cs="Times New Roman"/>
          <w:bCs/>
          <w:color w:val="444444"/>
          <w:sz w:val="24"/>
          <w:szCs w:val="24"/>
        </w:rPr>
      </w:pPr>
      <w:r w:rsidRPr="00D87D7C">
        <w:rPr>
          <w:rFonts w:ascii="Times New Roman" w:eastAsia="Times New Roman" w:hAnsi="Times New Roman" w:cs="Times New Roman"/>
          <w:bCs/>
          <w:i/>
          <w:color w:val="444444"/>
          <w:sz w:val="24"/>
          <w:szCs w:val="24"/>
        </w:rPr>
        <w:tab/>
      </w:r>
      <w:proofErr w:type="gramStart"/>
      <w:r w:rsidRPr="00D87D7C">
        <w:rPr>
          <w:rFonts w:ascii="Times New Roman" w:eastAsia="Times New Roman" w:hAnsi="Times New Roman" w:cs="Times New Roman"/>
          <w:bCs/>
          <w:i/>
          <w:color w:val="444444"/>
          <w:sz w:val="24"/>
          <w:szCs w:val="24"/>
        </w:rPr>
        <w:t>for</w:t>
      </w:r>
      <w:proofErr w:type="gramEnd"/>
      <w:r w:rsidRPr="00D87D7C">
        <w:rPr>
          <w:rFonts w:ascii="Times New Roman" w:eastAsia="Times New Roman" w:hAnsi="Times New Roman" w:cs="Times New Roman"/>
          <w:bCs/>
          <w:i/>
          <w:color w:val="444444"/>
          <w:sz w:val="24"/>
          <w:szCs w:val="24"/>
        </w:rPr>
        <w:t xml:space="preserve"> Geriatric Nursing. </w:t>
      </w:r>
      <w:r w:rsidRPr="00D87D7C">
        <w:rPr>
          <w:rFonts w:ascii="Times New Roman" w:eastAsia="Times New Roman" w:hAnsi="Times New Roman" w:cs="Times New Roman"/>
          <w:bCs/>
          <w:color w:val="444444"/>
          <w:sz w:val="24"/>
          <w:szCs w:val="24"/>
        </w:rPr>
        <w:t xml:space="preserve">Retrieved from </w:t>
      </w:r>
    </w:p>
    <w:p w:rsidR="00D87D7C" w:rsidRPr="00D87D7C" w:rsidRDefault="009C23E3" w:rsidP="009C23E3">
      <w:pPr>
        <w:spacing w:line="480" w:lineRule="auto"/>
        <w:outlineLvl w:val="3"/>
        <w:rPr>
          <w:rFonts w:ascii="Times New Roman" w:eastAsia="Times New Roman" w:hAnsi="Times New Roman" w:cs="Times New Roman"/>
          <w:bCs/>
          <w:color w:val="444444"/>
          <w:sz w:val="24"/>
          <w:szCs w:val="24"/>
        </w:rPr>
      </w:pPr>
      <w:r>
        <w:rPr>
          <w:rFonts w:ascii="Times New Roman" w:eastAsia="Times New Roman" w:hAnsi="Times New Roman" w:cs="Times New Roman"/>
          <w:bCs/>
          <w:color w:val="444444"/>
          <w:sz w:val="24"/>
          <w:szCs w:val="24"/>
        </w:rPr>
        <w:tab/>
      </w:r>
      <w:r w:rsidR="00D87D7C" w:rsidRPr="00D87D7C">
        <w:rPr>
          <w:rFonts w:ascii="Times New Roman" w:eastAsia="Times New Roman" w:hAnsi="Times New Roman" w:cs="Times New Roman"/>
          <w:bCs/>
          <w:color w:val="444444"/>
          <w:sz w:val="24"/>
          <w:szCs w:val="24"/>
        </w:rPr>
        <w:t>http://consultgerirn.org/topics/frailty_and_its_implications_for_care_new/want_to_know</w:t>
      </w:r>
      <w:r>
        <w:rPr>
          <w:rFonts w:ascii="Times New Roman" w:eastAsia="Times New Roman" w:hAnsi="Times New Roman" w:cs="Times New Roman"/>
          <w:bCs/>
          <w:color w:val="444444"/>
          <w:sz w:val="24"/>
          <w:szCs w:val="24"/>
        </w:rPr>
        <w:tab/>
      </w:r>
      <w:r w:rsidR="00D87D7C" w:rsidRPr="00D87D7C">
        <w:rPr>
          <w:rFonts w:ascii="Times New Roman" w:eastAsia="Times New Roman" w:hAnsi="Times New Roman" w:cs="Times New Roman"/>
          <w:bCs/>
          <w:color w:val="444444"/>
          <w:sz w:val="24"/>
          <w:szCs w:val="24"/>
        </w:rPr>
        <w:t>_more#item_3</w:t>
      </w:r>
    </w:p>
    <w:p w:rsidR="00D87D7C" w:rsidRPr="00D87D7C" w:rsidRDefault="00D87D7C" w:rsidP="00BC7256">
      <w:pPr>
        <w:spacing w:after="0" w:line="336" w:lineRule="atLeast"/>
        <w:rPr>
          <w:rFonts w:ascii="Times New Roman" w:eastAsia="Times New Roman" w:hAnsi="Times New Roman" w:cs="Times New Roman"/>
          <w:color w:val="444444"/>
          <w:sz w:val="24"/>
          <w:szCs w:val="24"/>
        </w:rPr>
      </w:pPr>
    </w:p>
    <w:sectPr w:rsidR="00D87D7C" w:rsidRPr="00D87D7C" w:rsidSect="00BC7256">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6T20:52:00Z" w:initials="M">
    <w:p w:rsidR="009C23E3" w:rsidRDefault="009C23E3">
      <w:pPr>
        <w:pStyle w:val="CommentText"/>
      </w:pPr>
      <w:r>
        <w:rPr>
          <w:rStyle w:val="CommentReference"/>
        </w:rPr>
        <w:annotationRef/>
      </w:r>
      <w:r>
        <w:t>Double space</w:t>
      </w:r>
    </w:p>
  </w:comment>
  <w:comment w:id="1" w:author="Mary" w:date="2012-02-26T20:53:00Z" w:initials="M">
    <w:p w:rsidR="009C23E3" w:rsidRDefault="009C23E3">
      <w:pPr>
        <w:pStyle w:val="CommentText"/>
      </w:pPr>
      <w:r>
        <w:rPr>
          <w:rStyle w:val="CommentReference"/>
        </w:rPr>
        <w:annotationRef/>
      </w:r>
      <w:r>
        <w:t>Need page number with a direct quote</w:t>
      </w:r>
    </w:p>
  </w:comment>
  <w:comment w:id="2" w:author="Mary" w:date="2012-02-26T20:53:00Z" w:initials="M">
    <w:p w:rsidR="009C23E3" w:rsidRDefault="009C23E3">
      <w:pPr>
        <w:pStyle w:val="CommentText"/>
      </w:pPr>
      <w:r>
        <w:rPr>
          <w:rStyle w:val="CommentReference"/>
        </w:rPr>
        <w:annotationRef/>
      </w:r>
      <w:r>
        <w:t>Need page number</w:t>
      </w:r>
    </w:p>
  </w:comment>
  <w:comment w:id="3" w:author="Mary" w:date="2012-02-26T20:54:00Z" w:initials="M">
    <w:p w:rsidR="009C23E3" w:rsidRDefault="009C23E3">
      <w:pPr>
        <w:pStyle w:val="CommentText"/>
      </w:pPr>
      <w:r>
        <w:rPr>
          <w:rStyle w:val="CommentReference"/>
        </w:rPr>
        <w:annotationRef/>
      </w:r>
      <w:r>
        <w:t>Cite your source</w:t>
      </w:r>
    </w:p>
  </w:comment>
  <w:comment w:id="4" w:author="Mary" w:date="2012-02-26T20:54:00Z" w:initials="M">
    <w:p w:rsidR="009C23E3" w:rsidRDefault="009C23E3">
      <w:pPr>
        <w:pStyle w:val="CommentText"/>
      </w:pPr>
      <w:r>
        <w:rPr>
          <w:rStyle w:val="CommentReference"/>
        </w:rPr>
        <w:annotationRef/>
      </w:r>
      <w:r>
        <w:t>Source?</w:t>
      </w:r>
    </w:p>
  </w:comment>
  <w:comment w:id="5" w:author="Mary" w:date="2012-02-26T20:54:00Z" w:initials="M">
    <w:p w:rsidR="009C23E3" w:rsidRDefault="009C23E3">
      <w:pPr>
        <w:pStyle w:val="CommentText"/>
      </w:pPr>
      <w:r>
        <w:rPr>
          <w:rStyle w:val="CommentReference"/>
        </w:rPr>
        <w:annotationRef/>
      </w:r>
      <w:proofErr w:type="spellStart"/>
      <w:r>
        <w:t>Xource</w:t>
      </w:r>
      <w:proofErr w:type="spellEnd"/>
      <w:r>
        <w:t>?</w:t>
      </w:r>
    </w:p>
  </w:comment>
  <w:comment w:id="6" w:author="Mary" w:date="2012-02-26T20:55:00Z" w:initials="M">
    <w:p w:rsidR="009C23E3" w:rsidRDefault="009C23E3">
      <w:pPr>
        <w:pStyle w:val="CommentText"/>
      </w:pPr>
      <w:r>
        <w:rPr>
          <w:rStyle w:val="CommentReference"/>
        </w:rPr>
        <w:annotationRef/>
      </w:r>
      <w:r>
        <w:t>Cite source?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48E" w:rsidRDefault="009D148E" w:rsidP="00BC7256">
      <w:pPr>
        <w:spacing w:after="0" w:line="240" w:lineRule="auto"/>
      </w:pPr>
      <w:r>
        <w:separator/>
      </w:r>
    </w:p>
  </w:endnote>
  <w:endnote w:type="continuationSeparator" w:id="0">
    <w:p w:rsidR="009D148E" w:rsidRDefault="009D148E" w:rsidP="00BC7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48E" w:rsidRDefault="009D148E" w:rsidP="00BC7256">
      <w:pPr>
        <w:spacing w:after="0" w:line="240" w:lineRule="auto"/>
      </w:pPr>
      <w:r>
        <w:separator/>
      </w:r>
    </w:p>
  </w:footnote>
  <w:footnote w:type="continuationSeparator" w:id="0">
    <w:p w:rsidR="009D148E" w:rsidRDefault="009D148E" w:rsidP="00BC7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22362"/>
      <w:docPartObj>
        <w:docPartGallery w:val="Page Numbers (Top of Page)"/>
        <w:docPartUnique/>
      </w:docPartObj>
    </w:sdtPr>
    <w:sdtContent>
      <w:p w:rsidR="00BC7256" w:rsidRDefault="00BC7256">
        <w:pPr>
          <w:pStyle w:val="Header"/>
        </w:pPr>
        <w:r w:rsidRPr="00BC7256">
          <w:rPr>
            <w:rFonts w:ascii="Times New Roman" w:hAnsi="Times New Roman" w:cs="Times New Roman"/>
            <w:sz w:val="24"/>
            <w:szCs w:val="24"/>
          </w:rPr>
          <w:t>CASE STUDY 5.2 FRAILTY</w:t>
        </w:r>
        <w:r>
          <w:rPr>
            <w:sz w:val="24"/>
            <w:szCs w:val="24"/>
          </w:rPr>
          <w:t xml:space="preserve"> </w:t>
        </w:r>
        <w:r>
          <w:rPr>
            <w:sz w:val="24"/>
            <w:szCs w:val="24"/>
          </w:rPr>
          <w:tab/>
        </w:r>
        <w:r>
          <w:rPr>
            <w:sz w:val="24"/>
            <w:szCs w:val="24"/>
          </w:rPr>
          <w:tab/>
        </w:r>
        <w:fldSimple w:instr=" PAGE   \* MERGEFORMAT ">
          <w:r w:rsidR="0027321D">
            <w:rPr>
              <w:noProof/>
            </w:rPr>
            <w:t>2</w:t>
          </w:r>
        </w:fldSimple>
      </w:p>
    </w:sdtContent>
  </w:sdt>
  <w:p w:rsidR="00BC7256" w:rsidRDefault="00BC72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22386"/>
      <w:docPartObj>
        <w:docPartGallery w:val="Page Numbers (Top of Page)"/>
        <w:docPartUnique/>
      </w:docPartObj>
    </w:sdtPr>
    <w:sdtContent>
      <w:p w:rsidR="00BC7256" w:rsidRDefault="00BC7256">
        <w:pPr>
          <w:pStyle w:val="Header"/>
        </w:pPr>
        <w:r>
          <w:rPr>
            <w:rFonts w:ascii="Times New Roman" w:hAnsi="Times New Roman" w:cs="Times New Roman"/>
          </w:rPr>
          <w:t xml:space="preserve">Running head: CASE STUDY 5.2 FRAILTY </w:t>
        </w:r>
        <w:r>
          <w:rPr>
            <w:rFonts w:ascii="Times New Roman" w:hAnsi="Times New Roman" w:cs="Times New Roman"/>
          </w:rPr>
          <w:tab/>
        </w:r>
        <w:r>
          <w:rPr>
            <w:rFonts w:ascii="Times New Roman" w:hAnsi="Times New Roman" w:cs="Times New Roman"/>
          </w:rPr>
          <w:tab/>
        </w:r>
        <w:fldSimple w:instr=" PAGE   \* MERGEFORMAT ">
          <w:r w:rsidR="0027321D">
            <w:rPr>
              <w:noProof/>
            </w:rPr>
            <w:t>1</w:t>
          </w:r>
        </w:fldSimple>
      </w:p>
    </w:sdtContent>
  </w:sdt>
  <w:p w:rsidR="00BC7256" w:rsidRDefault="00BC72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7251"/>
    <w:multiLevelType w:val="multilevel"/>
    <w:tmpl w:val="CD8E6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D2237"/>
    <w:multiLevelType w:val="hybridMultilevel"/>
    <w:tmpl w:val="DDD26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58620D"/>
    <w:multiLevelType w:val="multilevel"/>
    <w:tmpl w:val="9CE2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0C17C7"/>
    <w:multiLevelType w:val="multilevel"/>
    <w:tmpl w:val="CA6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8619F"/>
    <w:multiLevelType w:val="hybridMultilevel"/>
    <w:tmpl w:val="96FE02E0"/>
    <w:lvl w:ilvl="0" w:tplc="10EA462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D4A5308"/>
    <w:multiLevelType w:val="hybridMultilevel"/>
    <w:tmpl w:val="62EEADBE"/>
    <w:lvl w:ilvl="0" w:tplc="5C6649B0">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782567"/>
    <w:multiLevelType w:val="hybridMultilevel"/>
    <w:tmpl w:val="7E88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A5009"/>
    <w:rsid w:val="0027321D"/>
    <w:rsid w:val="00493369"/>
    <w:rsid w:val="005D2002"/>
    <w:rsid w:val="00762DFD"/>
    <w:rsid w:val="007A5009"/>
    <w:rsid w:val="009C23E3"/>
    <w:rsid w:val="009D148E"/>
    <w:rsid w:val="00BA22C9"/>
    <w:rsid w:val="00BC7256"/>
    <w:rsid w:val="00BE1F37"/>
    <w:rsid w:val="00BF508B"/>
    <w:rsid w:val="00CE43B0"/>
    <w:rsid w:val="00D87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009"/>
    <w:pPr>
      <w:ind w:left="720"/>
      <w:contextualSpacing/>
    </w:pPr>
  </w:style>
  <w:style w:type="paragraph" w:styleId="Header">
    <w:name w:val="header"/>
    <w:basedOn w:val="Normal"/>
    <w:link w:val="HeaderChar"/>
    <w:uiPriority w:val="99"/>
    <w:unhideWhenUsed/>
    <w:rsid w:val="00BC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256"/>
  </w:style>
  <w:style w:type="paragraph" w:styleId="Footer">
    <w:name w:val="footer"/>
    <w:basedOn w:val="Normal"/>
    <w:link w:val="FooterChar"/>
    <w:uiPriority w:val="99"/>
    <w:semiHidden/>
    <w:unhideWhenUsed/>
    <w:rsid w:val="00BC72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7256"/>
  </w:style>
  <w:style w:type="character" w:styleId="Hyperlink">
    <w:name w:val="Hyperlink"/>
    <w:basedOn w:val="DefaultParagraphFont"/>
    <w:uiPriority w:val="99"/>
    <w:unhideWhenUsed/>
    <w:rsid w:val="00BC7256"/>
    <w:rPr>
      <w:color w:val="0000FF" w:themeColor="hyperlink"/>
      <w:u w:val="single"/>
    </w:rPr>
  </w:style>
  <w:style w:type="character" w:styleId="CommentReference">
    <w:name w:val="annotation reference"/>
    <w:basedOn w:val="DefaultParagraphFont"/>
    <w:uiPriority w:val="99"/>
    <w:semiHidden/>
    <w:unhideWhenUsed/>
    <w:rsid w:val="009C23E3"/>
    <w:rPr>
      <w:sz w:val="16"/>
      <w:szCs w:val="16"/>
    </w:rPr>
  </w:style>
  <w:style w:type="paragraph" w:styleId="CommentText">
    <w:name w:val="annotation text"/>
    <w:basedOn w:val="Normal"/>
    <w:link w:val="CommentTextChar"/>
    <w:uiPriority w:val="99"/>
    <w:semiHidden/>
    <w:unhideWhenUsed/>
    <w:rsid w:val="009C23E3"/>
    <w:pPr>
      <w:spacing w:line="240" w:lineRule="auto"/>
    </w:pPr>
    <w:rPr>
      <w:sz w:val="20"/>
      <w:szCs w:val="20"/>
    </w:rPr>
  </w:style>
  <w:style w:type="character" w:customStyle="1" w:styleId="CommentTextChar">
    <w:name w:val="Comment Text Char"/>
    <w:basedOn w:val="DefaultParagraphFont"/>
    <w:link w:val="CommentText"/>
    <w:uiPriority w:val="99"/>
    <w:semiHidden/>
    <w:rsid w:val="009C23E3"/>
    <w:rPr>
      <w:sz w:val="20"/>
      <w:szCs w:val="20"/>
    </w:rPr>
  </w:style>
  <w:style w:type="paragraph" w:styleId="CommentSubject">
    <w:name w:val="annotation subject"/>
    <w:basedOn w:val="CommentText"/>
    <w:next w:val="CommentText"/>
    <w:link w:val="CommentSubjectChar"/>
    <w:uiPriority w:val="99"/>
    <w:semiHidden/>
    <w:unhideWhenUsed/>
    <w:rsid w:val="009C23E3"/>
    <w:rPr>
      <w:b/>
      <w:bCs/>
    </w:rPr>
  </w:style>
  <w:style w:type="character" w:customStyle="1" w:styleId="CommentSubjectChar">
    <w:name w:val="Comment Subject Char"/>
    <w:basedOn w:val="CommentTextChar"/>
    <w:link w:val="CommentSubject"/>
    <w:uiPriority w:val="99"/>
    <w:semiHidden/>
    <w:rsid w:val="009C23E3"/>
    <w:rPr>
      <w:b/>
      <w:bCs/>
    </w:rPr>
  </w:style>
  <w:style w:type="paragraph" w:styleId="BalloonText">
    <w:name w:val="Balloon Text"/>
    <w:basedOn w:val="Normal"/>
    <w:link w:val="BalloonTextChar"/>
    <w:uiPriority w:val="99"/>
    <w:semiHidden/>
    <w:unhideWhenUsed/>
    <w:rsid w:val="009C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756040">
      <w:bodyDiv w:val="1"/>
      <w:marLeft w:val="0"/>
      <w:marRight w:val="0"/>
      <w:marTop w:val="0"/>
      <w:marBottom w:val="0"/>
      <w:divBdr>
        <w:top w:val="none" w:sz="0" w:space="0" w:color="auto"/>
        <w:left w:val="none" w:sz="0" w:space="0" w:color="auto"/>
        <w:bottom w:val="none" w:sz="0" w:space="0" w:color="auto"/>
        <w:right w:val="none" w:sz="0" w:space="0" w:color="auto"/>
      </w:divBdr>
      <w:divsChild>
        <w:div w:id="1267889605">
          <w:marLeft w:val="0"/>
          <w:marRight w:val="0"/>
          <w:marTop w:val="210"/>
          <w:marBottom w:val="210"/>
          <w:divBdr>
            <w:top w:val="none" w:sz="0" w:space="0" w:color="auto"/>
            <w:left w:val="none" w:sz="0" w:space="0" w:color="auto"/>
            <w:bottom w:val="none" w:sz="0" w:space="0" w:color="auto"/>
            <w:right w:val="none" w:sz="0" w:space="0" w:color="auto"/>
          </w:divBdr>
          <w:divsChild>
            <w:div w:id="464079202">
              <w:marLeft w:val="0"/>
              <w:marRight w:val="0"/>
              <w:marTop w:val="0"/>
              <w:marBottom w:val="0"/>
              <w:divBdr>
                <w:top w:val="none" w:sz="0" w:space="0" w:color="auto"/>
                <w:left w:val="none" w:sz="0" w:space="0" w:color="auto"/>
                <w:bottom w:val="none" w:sz="0" w:space="0" w:color="auto"/>
                <w:right w:val="none" w:sz="0" w:space="0" w:color="auto"/>
              </w:divBdr>
              <w:divsChild>
                <w:div w:id="1082795231">
                  <w:marLeft w:val="0"/>
                  <w:marRight w:val="0"/>
                  <w:marTop w:val="0"/>
                  <w:marBottom w:val="0"/>
                  <w:divBdr>
                    <w:top w:val="none" w:sz="0" w:space="0" w:color="auto"/>
                    <w:left w:val="none" w:sz="0" w:space="0" w:color="auto"/>
                    <w:bottom w:val="none" w:sz="0" w:space="0" w:color="auto"/>
                    <w:right w:val="none" w:sz="0" w:space="0" w:color="auto"/>
                  </w:divBdr>
                  <w:divsChild>
                    <w:div w:id="10224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1140">
      <w:bodyDiv w:val="1"/>
      <w:marLeft w:val="0"/>
      <w:marRight w:val="0"/>
      <w:marTop w:val="0"/>
      <w:marBottom w:val="0"/>
      <w:divBdr>
        <w:top w:val="none" w:sz="0" w:space="0" w:color="auto"/>
        <w:left w:val="none" w:sz="0" w:space="0" w:color="auto"/>
        <w:bottom w:val="none" w:sz="0" w:space="0" w:color="auto"/>
        <w:right w:val="none" w:sz="0" w:space="0" w:color="auto"/>
      </w:divBdr>
      <w:divsChild>
        <w:div w:id="1956475019">
          <w:marLeft w:val="0"/>
          <w:marRight w:val="0"/>
          <w:marTop w:val="210"/>
          <w:marBottom w:val="210"/>
          <w:divBdr>
            <w:top w:val="none" w:sz="0" w:space="0" w:color="auto"/>
            <w:left w:val="none" w:sz="0" w:space="0" w:color="auto"/>
            <w:bottom w:val="none" w:sz="0" w:space="0" w:color="auto"/>
            <w:right w:val="none" w:sz="0" w:space="0" w:color="auto"/>
          </w:divBdr>
          <w:divsChild>
            <w:div w:id="259681834">
              <w:marLeft w:val="0"/>
              <w:marRight w:val="0"/>
              <w:marTop w:val="0"/>
              <w:marBottom w:val="0"/>
              <w:divBdr>
                <w:top w:val="none" w:sz="0" w:space="0" w:color="auto"/>
                <w:left w:val="none" w:sz="0" w:space="0" w:color="auto"/>
                <w:bottom w:val="none" w:sz="0" w:space="0" w:color="auto"/>
                <w:right w:val="none" w:sz="0" w:space="0" w:color="auto"/>
              </w:divBdr>
              <w:divsChild>
                <w:div w:id="1815491561">
                  <w:marLeft w:val="0"/>
                  <w:marRight w:val="0"/>
                  <w:marTop w:val="0"/>
                  <w:marBottom w:val="0"/>
                  <w:divBdr>
                    <w:top w:val="none" w:sz="0" w:space="0" w:color="auto"/>
                    <w:left w:val="none" w:sz="0" w:space="0" w:color="auto"/>
                    <w:bottom w:val="none" w:sz="0" w:space="0" w:color="auto"/>
                    <w:right w:val="none" w:sz="0" w:space="0" w:color="auto"/>
                  </w:divBdr>
                  <w:divsChild>
                    <w:div w:id="16141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6191">
      <w:bodyDiv w:val="1"/>
      <w:marLeft w:val="0"/>
      <w:marRight w:val="0"/>
      <w:marTop w:val="0"/>
      <w:marBottom w:val="0"/>
      <w:divBdr>
        <w:top w:val="none" w:sz="0" w:space="0" w:color="auto"/>
        <w:left w:val="none" w:sz="0" w:space="0" w:color="auto"/>
        <w:bottom w:val="none" w:sz="0" w:space="0" w:color="auto"/>
        <w:right w:val="none" w:sz="0" w:space="0" w:color="auto"/>
      </w:divBdr>
      <w:divsChild>
        <w:div w:id="1007441747">
          <w:marLeft w:val="0"/>
          <w:marRight w:val="0"/>
          <w:marTop w:val="210"/>
          <w:marBottom w:val="210"/>
          <w:divBdr>
            <w:top w:val="none" w:sz="0" w:space="0" w:color="auto"/>
            <w:left w:val="none" w:sz="0" w:space="0" w:color="auto"/>
            <w:bottom w:val="none" w:sz="0" w:space="0" w:color="auto"/>
            <w:right w:val="none" w:sz="0" w:space="0" w:color="auto"/>
          </w:divBdr>
          <w:divsChild>
            <w:div w:id="1096946981">
              <w:marLeft w:val="0"/>
              <w:marRight w:val="0"/>
              <w:marTop w:val="0"/>
              <w:marBottom w:val="0"/>
              <w:divBdr>
                <w:top w:val="none" w:sz="0" w:space="0" w:color="auto"/>
                <w:left w:val="none" w:sz="0" w:space="0" w:color="auto"/>
                <w:bottom w:val="none" w:sz="0" w:space="0" w:color="auto"/>
                <w:right w:val="none" w:sz="0" w:space="0" w:color="auto"/>
              </w:divBdr>
              <w:divsChild>
                <w:div w:id="614799490">
                  <w:marLeft w:val="0"/>
                  <w:marRight w:val="0"/>
                  <w:marTop w:val="0"/>
                  <w:marBottom w:val="0"/>
                  <w:divBdr>
                    <w:top w:val="none" w:sz="0" w:space="0" w:color="auto"/>
                    <w:left w:val="none" w:sz="0" w:space="0" w:color="auto"/>
                    <w:bottom w:val="none" w:sz="0" w:space="0" w:color="auto"/>
                    <w:right w:val="none" w:sz="0" w:space="0" w:color="auto"/>
                  </w:divBdr>
                  <w:divsChild>
                    <w:div w:id="4660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210">
      <w:bodyDiv w:val="1"/>
      <w:marLeft w:val="0"/>
      <w:marRight w:val="0"/>
      <w:marTop w:val="0"/>
      <w:marBottom w:val="0"/>
      <w:divBdr>
        <w:top w:val="none" w:sz="0" w:space="0" w:color="auto"/>
        <w:left w:val="none" w:sz="0" w:space="0" w:color="auto"/>
        <w:bottom w:val="none" w:sz="0" w:space="0" w:color="auto"/>
        <w:right w:val="none" w:sz="0" w:space="0" w:color="auto"/>
      </w:divBdr>
      <w:divsChild>
        <w:div w:id="130707950">
          <w:marLeft w:val="0"/>
          <w:marRight w:val="0"/>
          <w:marTop w:val="210"/>
          <w:marBottom w:val="210"/>
          <w:divBdr>
            <w:top w:val="none" w:sz="0" w:space="0" w:color="auto"/>
            <w:left w:val="none" w:sz="0" w:space="0" w:color="auto"/>
            <w:bottom w:val="none" w:sz="0" w:space="0" w:color="auto"/>
            <w:right w:val="none" w:sz="0" w:space="0" w:color="auto"/>
          </w:divBdr>
          <w:divsChild>
            <w:div w:id="1947157782">
              <w:marLeft w:val="0"/>
              <w:marRight w:val="0"/>
              <w:marTop w:val="0"/>
              <w:marBottom w:val="0"/>
              <w:divBdr>
                <w:top w:val="none" w:sz="0" w:space="0" w:color="auto"/>
                <w:left w:val="none" w:sz="0" w:space="0" w:color="auto"/>
                <w:bottom w:val="none" w:sz="0" w:space="0" w:color="auto"/>
                <w:right w:val="none" w:sz="0" w:space="0" w:color="auto"/>
              </w:divBdr>
              <w:divsChild>
                <w:div w:id="1447775534">
                  <w:marLeft w:val="0"/>
                  <w:marRight w:val="0"/>
                  <w:marTop w:val="0"/>
                  <w:marBottom w:val="0"/>
                  <w:divBdr>
                    <w:top w:val="none" w:sz="0" w:space="0" w:color="auto"/>
                    <w:left w:val="none" w:sz="0" w:space="0" w:color="auto"/>
                    <w:bottom w:val="none" w:sz="0" w:space="0" w:color="auto"/>
                    <w:right w:val="none" w:sz="0" w:space="0" w:color="auto"/>
                  </w:divBdr>
                  <w:divsChild>
                    <w:div w:id="449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darticles.com/p/articles/mi_m0FDN/is_3_12/ai_n27421818/pg_5/?tag=content;col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msersomayores.csic.es/documentos/boletin/2007/numero-52/art-07-07-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2012-02-27T03:06:00Z</dcterms:created>
  <dcterms:modified xsi:type="dcterms:W3CDTF">2012-02-27T03:06:00Z</dcterms:modified>
</cp:coreProperties>
</file>