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99" w:rsidRDefault="00894F99" w:rsidP="00894F99">
      <w:pPr>
        <w:pStyle w:val="APABody"/>
      </w:pPr>
    </w:p>
    <w:p w:rsidR="00894F99" w:rsidRDefault="00894F99" w:rsidP="00894F99">
      <w:pPr>
        <w:pStyle w:val="APABody"/>
      </w:pPr>
    </w:p>
    <w:p w:rsidR="00894F99" w:rsidRDefault="00894F99" w:rsidP="00894F99">
      <w:pPr>
        <w:pStyle w:val="APABody"/>
      </w:pPr>
    </w:p>
    <w:p w:rsidR="00894F99" w:rsidRDefault="00894F99" w:rsidP="00894F99">
      <w:pPr>
        <w:pStyle w:val="APABody"/>
      </w:pPr>
    </w:p>
    <w:p w:rsidR="00894F99" w:rsidRDefault="00894F99" w:rsidP="00894F99">
      <w:pPr>
        <w:pStyle w:val="APABody"/>
      </w:pPr>
    </w:p>
    <w:p w:rsidR="00894F99" w:rsidRDefault="00894F99" w:rsidP="00894F99">
      <w:pPr>
        <w:pStyle w:val="APABody"/>
      </w:pPr>
    </w:p>
    <w:p w:rsidR="00894F99" w:rsidRDefault="007416D4" w:rsidP="00894F99">
      <w:pPr>
        <w:pStyle w:val="APACenteredText"/>
      </w:pPr>
      <w:r>
        <w:t>Hand washing</w:t>
      </w:r>
      <w:r w:rsidR="00894F99">
        <w:t xml:space="preserve"> Education</w:t>
      </w:r>
    </w:p>
    <w:p w:rsidR="00894F99" w:rsidRDefault="00894F99" w:rsidP="00894F99">
      <w:pPr>
        <w:pStyle w:val="APACenteredText"/>
      </w:pPr>
      <w:r>
        <w:t>Sheila Roth</w:t>
      </w:r>
    </w:p>
    <w:p w:rsidR="00894F99" w:rsidRDefault="00894F99" w:rsidP="00894F99">
      <w:pPr>
        <w:pStyle w:val="APACenteredText"/>
      </w:pPr>
      <w:r>
        <w:t>RN405 Project</w:t>
      </w:r>
    </w:p>
    <w:p w:rsidR="00894F99" w:rsidRDefault="00894F99" w:rsidP="00894F99">
      <w:pPr>
        <w:pStyle w:val="APACenteredText"/>
      </w:pPr>
      <w:r>
        <w:t>Lakeview College of Nursing</w:t>
      </w:r>
    </w:p>
    <w:p w:rsidR="00421AE0" w:rsidRDefault="00421AE0" w:rsidP="00421AE0">
      <w:pPr>
        <w:pStyle w:val="APACenteredText"/>
      </w:pPr>
      <w:r>
        <w:t>October 16, 2011</w:t>
      </w:r>
    </w:p>
    <w:p w:rsidR="00421AE0" w:rsidRDefault="00421AE0" w:rsidP="00894F99">
      <w:pPr>
        <w:pStyle w:val="APACenteredText"/>
      </w:pPr>
    </w:p>
    <w:p w:rsidR="00894F99" w:rsidRDefault="00894F99" w:rsidP="00894F99">
      <w:pPr>
        <w:pStyle w:val="APABody"/>
      </w:pPr>
      <w:r>
        <w:br w:type="page"/>
      </w:r>
    </w:p>
    <w:p w:rsidR="00894F99" w:rsidRDefault="007416D4" w:rsidP="00894F99">
      <w:pPr>
        <w:pStyle w:val="APACenteredText"/>
      </w:pPr>
      <w:r>
        <w:lastRenderedPageBreak/>
        <w:t xml:space="preserve">Hand </w:t>
      </w:r>
      <w:r w:rsidR="001E294C">
        <w:t>W</w:t>
      </w:r>
      <w:r>
        <w:t>ashing</w:t>
      </w:r>
      <w:r w:rsidR="00CC4B6F">
        <w:t xml:space="preserve"> Education </w:t>
      </w:r>
    </w:p>
    <w:p w:rsidR="00F33B2B" w:rsidRDefault="00E051CA" w:rsidP="00894F99">
      <w:pPr>
        <w:pStyle w:val="APABody"/>
      </w:pPr>
      <w:r>
        <w:t xml:space="preserve">TQM is the </w:t>
      </w:r>
      <w:r w:rsidR="007825E2">
        <w:t>approach</w:t>
      </w:r>
      <w:r>
        <w:t xml:space="preserve"> an organization </w:t>
      </w:r>
      <w:r w:rsidR="007825E2">
        <w:t>uses to think</w:t>
      </w:r>
      <w:r>
        <w:t xml:space="preserve"> about goals, processes and people in an effort to “ensure the right things are done right the first time</w:t>
      </w:r>
      <w:r w:rsidR="001E294C">
        <w:t xml:space="preserve"> (</w:t>
      </w:r>
      <w:r w:rsidR="00262C83">
        <w:t xml:space="preserve">CQI, 2011, </w:t>
      </w:r>
      <w:r w:rsidR="001E294C">
        <w:t xml:space="preserve">p. </w:t>
      </w:r>
      <w:r w:rsidR="00262C83">
        <w:t>1)</w:t>
      </w:r>
      <w:r>
        <w:t>.”  Th</w:t>
      </w:r>
      <w:r w:rsidR="00B25F69">
        <w:t>is</w:t>
      </w:r>
      <w:r>
        <w:t xml:space="preserve"> same thought process ha</w:t>
      </w:r>
      <w:r w:rsidR="00B25F69">
        <w:t>s</w:t>
      </w:r>
      <w:r>
        <w:t xml:space="preserve"> the ability to alter individual’s attitudes and behaviors which create</w:t>
      </w:r>
      <w:r w:rsidR="00AA4AEC">
        <w:t>s</w:t>
      </w:r>
      <w:r>
        <w:t xml:space="preserve"> better results.</w:t>
      </w:r>
      <w:r w:rsidR="008953A5">
        <w:t xml:space="preserve">  </w:t>
      </w:r>
      <w:bookmarkStart w:id="0" w:name="CurLocation"/>
      <w:bookmarkEnd w:id="0"/>
      <w:r w:rsidR="008953A5">
        <w:t>(CQI, 2011)</w:t>
      </w:r>
      <w:r w:rsidR="00F33B2B">
        <w:t xml:space="preserve">  The goal with TQM is to reach the highest level of quality patient care possible.</w:t>
      </w:r>
    </w:p>
    <w:p w:rsidR="00894F99" w:rsidRPr="00B202E1" w:rsidRDefault="008953A5" w:rsidP="00894F99">
      <w:pPr>
        <w:pStyle w:val="APABody"/>
        <w:rPr>
          <w:b/>
        </w:rPr>
      </w:pPr>
      <w:r>
        <w:t xml:space="preserve"> </w:t>
      </w:r>
      <w:r w:rsidR="00F33B2B">
        <w:t xml:space="preserve">The TQM process </w:t>
      </w:r>
      <w:r w:rsidR="002B2FC8">
        <w:t>is</w:t>
      </w:r>
      <w:r w:rsidR="00F33B2B">
        <w:t xml:space="preserve"> achieved </w:t>
      </w:r>
      <w:r w:rsidR="002B2FC8">
        <w:t>using</w:t>
      </w:r>
      <w:r w:rsidR="00F33B2B">
        <w:t xml:space="preserve"> multiple different avenues.  Tools have been developed such as:  employee and customer surveys, cause and effect diagrams, and flow charting, for example. There have also been various techniques used to measure quality control such as:  benchmarking, </w:t>
      </w:r>
      <w:r w:rsidR="00365546">
        <w:t>multiple</w:t>
      </w:r>
      <w:r w:rsidR="00F33B2B">
        <w:t xml:space="preserve"> design experiments and quality function development. (CQI, 2011, p</w:t>
      </w:r>
      <w:r w:rsidR="00892E74">
        <w:t>p</w:t>
      </w:r>
      <w:r w:rsidR="00F33B2B">
        <w:t>. 2</w:t>
      </w:r>
      <w:r w:rsidR="00892E74">
        <w:t>-3</w:t>
      </w:r>
      <w:r w:rsidR="00F33B2B">
        <w:t>)</w:t>
      </w:r>
      <w:r w:rsidR="00537BD9">
        <w:t xml:space="preserve">  The tools and techniques mentioned above must be knit closely into nursing practice.</w:t>
      </w:r>
    </w:p>
    <w:p w:rsidR="00262C83" w:rsidRDefault="00262C83" w:rsidP="00894F99">
      <w:pPr>
        <w:pStyle w:val="APABody"/>
      </w:pPr>
      <w:r>
        <w:t xml:space="preserve">According to Yoder-Wise (2011), </w:t>
      </w:r>
    </w:p>
    <w:p w:rsidR="00262C83" w:rsidRDefault="00262C83" w:rsidP="00894F99">
      <w:pPr>
        <w:pStyle w:val="APABody"/>
      </w:pPr>
      <w:r>
        <w:tab/>
        <w:t xml:space="preserve">For research to be translated into practice, it needs to reach the nurse, nurse </w:t>
      </w:r>
      <w:r>
        <w:tab/>
      </w:r>
      <w:r>
        <w:tab/>
      </w:r>
      <w:r>
        <w:tab/>
        <w:t xml:space="preserve">leaders, nurse managers, and administrators in an institution, as well as </w:t>
      </w:r>
      <w:r>
        <w:tab/>
      </w:r>
      <w:r>
        <w:tab/>
      </w:r>
      <w:r>
        <w:tab/>
      </w:r>
      <w:r>
        <w:tab/>
        <w:t xml:space="preserve">policymakers who can provide the infrastructure and support necessary for the </w:t>
      </w:r>
      <w:r>
        <w:tab/>
      </w:r>
      <w:r>
        <w:tab/>
      </w:r>
      <w:r>
        <w:tab/>
        <w:t>implementation of research results. (p. 422)</w:t>
      </w:r>
    </w:p>
    <w:p w:rsidR="00262C83" w:rsidRDefault="00262C83" w:rsidP="00262C83">
      <w:pPr>
        <w:pStyle w:val="APABody"/>
        <w:ind w:firstLine="0"/>
      </w:pPr>
      <w:r>
        <w:t>N</w:t>
      </w:r>
      <w:r w:rsidR="00AE5D70">
        <w:t xml:space="preserve">urses are </w:t>
      </w:r>
      <w:r>
        <w:t xml:space="preserve">no longer expected to simply read </w:t>
      </w:r>
      <w:r w:rsidR="00C9669E">
        <w:t>previous</w:t>
      </w:r>
      <w:r>
        <w:t xml:space="preserve"> research</w:t>
      </w:r>
      <w:r w:rsidR="00C9669E">
        <w:t xml:space="preserve"> studies and their outcomes</w:t>
      </w:r>
      <w:r>
        <w:t xml:space="preserve">. Facilities </w:t>
      </w:r>
      <w:r w:rsidR="00AE5D70">
        <w:t xml:space="preserve">are now </w:t>
      </w:r>
      <w:r>
        <w:t>rely</w:t>
      </w:r>
      <w:r w:rsidR="00AE5D70">
        <w:t>ing</w:t>
      </w:r>
      <w:r>
        <w:t xml:space="preserve"> on nurses to analyze </w:t>
      </w:r>
      <w:r w:rsidR="00AE5D70">
        <w:t>nursing practice techniques and recognize the need for continued research to improve evidence-based practice.  Nurses, today, must be curious, diligent, and assertive in establishing high-quality evidence-based practice. (Yoder-Wise, 2011, pp. 422-423)</w:t>
      </w:r>
    </w:p>
    <w:p w:rsidR="00320693" w:rsidRDefault="008953A5" w:rsidP="00894F99">
      <w:pPr>
        <w:pStyle w:val="APABody"/>
      </w:pPr>
      <w:r>
        <w:lastRenderedPageBreak/>
        <w:t xml:space="preserve">This writer used the PICOT format to research the different </w:t>
      </w:r>
      <w:r w:rsidR="00E315D3">
        <w:t>type</w:t>
      </w:r>
      <w:r>
        <w:t xml:space="preserve">s of </w:t>
      </w:r>
      <w:r w:rsidR="00692FDB">
        <w:t>hand washing</w:t>
      </w:r>
      <w:r>
        <w:t xml:space="preserve"> education used in healthcare facilities.  PICOT format is the </w:t>
      </w:r>
      <w:r w:rsidR="00E315D3">
        <w:t>arrangement of words in a detailed</w:t>
      </w:r>
      <w:r>
        <w:t xml:space="preserve"> question </w:t>
      </w:r>
      <w:r w:rsidR="00E315D3">
        <w:t xml:space="preserve">used </w:t>
      </w:r>
      <w:r>
        <w:t xml:space="preserve">to </w:t>
      </w:r>
      <w:r w:rsidR="00E315D3">
        <w:t>research</w:t>
      </w:r>
      <w:r w:rsidR="00692FDB">
        <w:t xml:space="preserve"> past</w:t>
      </w:r>
      <w:r w:rsidR="00E315D3">
        <w:t xml:space="preserve"> evidence-based-practice. </w:t>
      </w:r>
      <w:r w:rsidR="00B82591">
        <w:t>(Yoder-Wise, 2011, p. 423)</w:t>
      </w:r>
      <w:r w:rsidR="00692FDB">
        <w:t xml:space="preserve"> </w:t>
      </w:r>
      <w:r w:rsidR="00DA1423">
        <w:t xml:space="preserve"> </w:t>
      </w:r>
      <w:r w:rsidR="00692FDB">
        <w:t>PICOT</w:t>
      </w:r>
      <w:r w:rsidR="00B82591">
        <w:t>, according to Yoder-Wise (211), stands</w:t>
      </w:r>
      <w:r w:rsidR="00692FDB">
        <w:t xml:space="preserve"> for “</w:t>
      </w:r>
      <w:r w:rsidR="00692FDB">
        <w:rPr>
          <w:b/>
        </w:rPr>
        <w:t>p</w:t>
      </w:r>
      <w:r w:rsidR="00692FDB">
        <w:t xml:space="preserve">atient, </w:t>
      </w:r>
      <w:r w:rsidR="00B82591">
        <w:rPr>
          <w:b/>
        </w:rPr>
        <w:t>i</w:t>
      </w:r>
      <w:r w:rsidR="00692FDB">
        <w:t xml:space="preserve">ntervention, </w:t>
      </w:r>
      <w:r w:rsidR="00B82591">
        <w:rPr>
          <w:b/>
        </w:rPr>
        <w:t>c</w:t>
      </w:r>
      <w:r w:rsidR="00692FDB">
        <w:t xml:space="preserve">omparison </w:t>
      </w:r>
      <w:r w:rsidR="00692FDB" w:rsidRPr="00E315D3">
        <w:rPr>
          <w:b/>
        </w:rPr>
        <w:t>i</w:t>
      </w:r>
      <w:r w:rsidR="00692FDB">
        <w:t xml:space="preserve">ntervention, </w:t>
      </w:r>
      <w:r w:rsidR="00B82591">
        <w:rPr>
          <w:b/>
        </w:rPr>
        <w:t>o</w:t>
      </w:r>
      <w:r w:rsidR="00692FDB">
        <w:t xml:space="preserve">utcome, and </w:t>
      </w:r>
      <w:r w:rsidR="00B82591">
        <w:rPr>
          <w:b/>
        </w:rPr>
        <w:t>t</w:t>
      </w:r>
      <w:r w:rsidR="00692FDB">
        <w:t xml:space="preserve">ime to facilitate </w:t>
      </w:r>
      <w:r w:rsidR="00B82591">
        <w:t>searching for the appropriate evidence (p. 423).”</w:t>
      </w:r>
      <w:r w:rsidR="00692FDB">
        <w:t xml:space="preserve"> </w:t>
      </w:r>
      <w:r w:rsidR="007D75E7">
        <w:t xml:space="preserve">For the purpose of this paper, this writer will use the picot format to answer this question:  </w:t>
      </w:r>
      <w:r w:rsidR="007D75E7" w:rsidRPr="000C7980">
        <w:rPr>
          <w:b/>
        </w:rPr>
        <w:t>P</w:t>
      </w:r>
      <w:r w:rsidR="007D75E7">
        <w:t>:  In hospitals</w:t>
      </w:r>
      <w:r w:rsidR="000C7980">
        <w:t xml:space="preserve"> with nurses</w:t>
      </w:r>
      <w:r w:rsidR="00DA1423">
        <w:t xml:space="preserve">, </w:t>
      </w:r>
      <w:r w:rsidR="000C7980">
        <w:t>doctors,</w:t>
      </w:r>
      <w:r w:rsidR="00DA1423">
        <w:t xml:space="preserve"> and various healthcare staff</w:t>
      </w:r>
      <w:r w:rsidR="00677E52">
        <w:t xml:space="preserve">, </w:t>
      </w:r>
      <w:r w:rsidR="00677E52" w:rsidRPr="00677E52">
        <w:rPr>
          <w:b/>
        </w:rPr>
        <w:t>I</w:t>
      </w:r>
      <w:r w:rsidR="000C7980">
        <w:t xml:space="preserve">:  are traditional </w:t>
      </w:r>
      <w:r w:rsidR="00F3793A">
        <w:t>methods of education regarding</w:t>
      </w:r>
      <w:r w:rsidR="000C7980">
        <w:t xml:space="preserve"> hand hygiene </w:t>
      </w:r>
      <w:r w:rsidR="00F3793A">
        <w:t>such as</w:t>
      </w:r>
      <w:r w:rsidR="000C7980">
        <w:t xml:space="preserve"> compliance training and posters, </w:t>
      </w:r>
      <w:r w:rsidR="000C7980">
        <w:rPr>
          <w:b/>
        </w:rPr>
        <w:t xml:space="preserve">C:  </w:t>
      </w:r>
      <w:r w:rsidR="000C7980">
        <w:t xml:space="preserve"> as good or better than unconventional hand hygiene educational methods, </w:t>
      </w:r>
      <w:r w:rsidR="000C7980">
        <w:rPr>
          <w:b/>
        </w:rPr>
        <w:t xml:space="preserve">O:  </w:t>
      </w:r>
      <w:r w:rsidR="000C7980">
        <w:t>for increasing hand washing compliance</w:t>
      </w:r>
      <w:r w:rsidR="00F3793A">
        <w:t xml:space="preserve"> rates</w:t>
      </w:r>
      <w:r w:rsidR="00E315D3">
        <w:t>.</w:t>
      </w:r>
      <w:r w:rsidR="00320693">
        <w:t xml:space="preserve"> The </w:t>
      </w:r>
      <w:r w:rsidR="00CC4B6F">
        <w:t xml:space="preserve">reader will </w:t>
      </w:r>
      <w:r w:rsidR="00320693">
        <w:t>examine</w:t>
      </w:r>
      <w:r w:rsidR="00CC4B6F">
        <w:t xml:space="preserve"> the various approaches used to educate healthcare staff regarding hand hygiene and its effectiveness</w:t>
      </w:r>
      <w:r w:rsidR="00E35578">
        <w:t xml:space="preserve"> </w:t>
      </w:r>
      <w:r w:rsidR="001753CE">
        <w:t>concerning</w:t>
      </w:r>
      <w:r w:rsidR="00E35578">
        <w:t xml:space="preserve"> staff compliance</w:t>
      </w:r>
      <w:r w:rsidR="00320693">
        <w:t>.</w:t>
      </w:r>
      <w:r w:rsidR="00CC4B6F">
        <w:t xml:space="preserve">  </w:t>
      </w:r>
    </w:p>
    <w:p w:rsidR="00CC4B6F" w:rsidRDefault="00B82591" w:rsidP="00894F99">
      <w:pPr>
        <w:pStyle w:val="APABody"/>
      </w:pPr>
      <w:r>
        <w:t>Hand washing</w:t>
      </w:r>
      <w:r w:rsidR="00CC4B6F">
        <w:t xml:space="preserve"> has been a topic </w:t>
      </w:r>
      <w:r w:rsidR="00E35578">
        <w:t xml:space="preserve">brought to healthcare workers attention on </w:t>
      </w:r>
      <w:r w:rsidR="00160194">
        <w:t>a regular basis</w:t>
      </w:r>
      <w:r w:rsidR="00E35578">
        <w:t>.  It has been discussed so frequently</w:t>
      </w:r>
      <w:r w:rsidR="00320693">
        <w:t>,</w:t>
      </w:r>
      <w:r w:rsidR="00E35578">
        <w:t xml:space="preserve"> that individuals seem to “look right through” the information rather than continuing to learn and apply</w:t>
      </w:r>
      <w:r w:rsidR="002F1400">
        <w:t xml:space="preserve"> new principles. This writer will </w:t>
      </w:r>
      <w:r w:rsidR="007518E2">
        <w:t>discuss</w:t>
      </w:r>
      <w:r w:rsidR="002F1400">
        <w:t xml:space="preserve"> the various new techniques</w:t>
      </w:r>
      <w:r w:rsidR="00F404A4">
        <w:t xml:space="preserve"> used to motivate </w:t>
      </w:r>
      <w:r w:rsidR="002F1400">
        <w:t xml:space="preserve">staff to increase </w:t>
      </w:r>
      <w:r w:rsidR="007416D4">
        <w:t>hand washing</w:t>
      </w:r>
      <w:r w:rsidR="002F1400">
        <w:t xml:space="preserve"> awareness and compliance.</w:t>
      </w:r>
      <w:r w:rsidR="00F404A4">
        <w:t xml:space="preserve">  </w:t>
      </w:r>
      <w:r w:rsidR="007518E2">
        <w:t xml:space="preserve">The different </w:t>
      </w:r>
      <w:r w:rsidR="00320693">
        <w:t>methods</w:t>
      </w:r>
      <w:r w:rsidR="007518E2">
        <w:t xml:space="preserve"> will be analyzed and results discussed in an effort to identify</w:t>
      </w:r>
      <w:r w:rsidR="001E73A2">
        <w:t xml:space="preserve"> the most up-to-date evidence-based-approach.  Th</w:t>
      </w:r>
      <w:r w:rsidR="00320693">
        <w:t>e</w:t>
      </w:r>
      <w:r w:rsidR="001E73A2">
        <w:t xml:space="preserve"> information will </w:t>
      </w:r>
      <w:r w:rsidR="00633A25">
        <w:t>provide</w:t>
      </w:r>
      <w:r w:rsidR="001E73A2">
        <w:t xml:space="preserve"> its reader the necessary information to make changes in every day practice or to continue to research beyond what has already been discovered.  </w:t>
      </w:r>
    </w:p>
    <w:p w:rsidR="002043C0" w:rsidRDefault="002043C0" w:rsidP="004654A6">
      <w:pPr>
        <w:pStyle w:val="APABody"/>
        <w:ind w:firstLine="0"/>
        <w:rPr>
          <w:b/>
        </w:rPr>
      </w:pPr>
      <w:r>
        <w:rPr>
          <w:b/>
        </w:rPr>
        <w:t>Ineffective Policy, Procedure, or System</w:t>
      </w:r>
    </w:p>
    <w:p w:rsidR="00633A25" w:rsidRDefault="00633A25" w:rsidP="00894F99">
      <w:pPr>
        <w:pStyle w:val="APABody"/>
      </w:pPr>
      <w:r>
        <w:t>According to a</w:t>
      </w:r>
      <w:r w:rsidR="004654A6">
        <w:t xml:space="preserve"> study performed by Sheree Smith (2009), </w:t>
      </w:r>
      <w:r>
        <w:t>she sought to</w:t>
      </w:r>
      <w:r w:rsidR="004654A6">
        <w:t xml:space="preserve"> “identify the most effective hand-washing and hand cleansing practice that could be used in primary care (Abstract, 2009, p. 1).”  As observed in the past, healthcare associated infections or (HAI) ha</w:t>
      </w:r>
      <w:r>
        <w:t>ve</w:t>
      </w:r>
      <w:r w:rsidR="004654A6">
        <w:t xml:space="preserve"> had a major </w:t>
      </w:r>
      <w:r w:rsidR="004654A6">
        <w:lastRenderedPageBreak/>
        <w:t xml:space="preserve">impact on causes of death yearly. (Abstract, 2009, p.1) </w:t>
      </w:r>
      <w:r>
        <w:t xml:space="preserve"> </w:t>
      </w:r>
      <w:r w:rsidR="004654A6">
        <w:t xml:space="preserve"> Smith discovered </w:t>
      </w:r>
      <w:r w:rsidR="006354A3">
        <w:t xml:space="preserve">discrepancies in technique regarding hand position and water flow direction.  The results of Smith’s study recognized the </w:t>
      </w:r>
      <w:r w:rsidR="002E01B5">
        <w:t xml:space="preserve">strongly promoted action of hand washing; however, the current hand-washing policy at that time was weak.  (Smith, 2009, p. </w:t>
      </w:r>
      <w:r w:rsidR="00326305">
        <w:t>787)</w:t>
      </w:r>
      <w:r>
        <w:t xml:space="preserve">  </w:t>
      </w:r>
      <w:r w:rsidR="00326305">
        <w:t xml:space="preserve"> Smith</w:t>
      </w:r>
      <w:r w:rsidR="00B13B3C">
        <w:t xml:space="preserve"> (2009)</w:t>
      </w:r>
      <w:r w:rsidR="00326305">
        <w:t xml:space="preserve"> discovered not only the lack of policies and procedures to proper hand washing technique but also the effects of water quality, the use of soap and water vs. antibacterial hand sanitizers, and individual behaviors as negative factors in proper hand hygiene.  </w:t>
      </w:r>
    </w:p>
    <w:p w:rsidR="00894F99" w:rsidRDefault="00326305" w:rsidP="00894F99">
      <w:pPr>
        <w:pStyle w:val="APABody"/>
      </w:pPr>
      <w:r>
        <w:t>According to Smith (2009)</w:t>
      </w:r>
      <w:r w:rsidR="00B13B3C">
        <w:t xml:space="preserve">, “To date, no primary care practice-specific hand-washing techniques have been identified and few hand-washing techniques have been studied (p. 788).”  Smith (2009) </w:t>
      </w:r>
      <w:r w:rsidR="00633A25">
        <w:t>continues</w:t>
      </w:r>
      <w:r w:rsidR="00B13B3C">
        <w:t>, “</w:t>
      </w:r>
      <w:r w:rsidR="00E458CC">
        <w:t>Startlingly, there is</w:t>
      </w:r>
      <w:r w:rsidR="00B13B3C">
        <w:t xml:space="preserve"> a lack of evidence for hand-washing techniques being undertaken in practice today…Furthermore, current guidelines are based on expert opinion with little robust evidence of efficacy in primary care (p. 788).”</w:t>
      </w:r>
      <w:r w:rsidR="00BB2BD4">
        <w:t xml:space="preserve">  This article demonstrates the need for “good clinical practice and clinical evidence” to be established in an effort to promote and improve proper hand hygiene. (Smith, 2009)</w:t>
      </w:r>
      <w:r w:rsidR="00633A25">
        <w:t xml:space="preserve">  </w:t>
      </w:r>
    </w:p>
    <w:p w:rsidR="00BB2BD4" w:rsidRDefault="00BB2BD4" w:rsidP="00920F4F">
      <w:pPr>
        <w:pStyle w:val="APABody"/>
        <w:ind w:firstLine="0"/>
        <w:jc w:val="center"/>
        <w:rPr>
          <w:b/>
        </w:rPr>
      </w:pPr>
      <w:r>
        <w:rPr>
          <w:b/>
        </w:rPr>
        <w:t>Possible Ways to Remedy the Situation, Policy, Procedure, or System and Analyze for the Best Approach</w:t>
      </w:r>
    </w:p>
    <w:p w:rsidR="00256733" w:rsidRDefault="00256733" w:rsidP="00256733">
      <w:pPr>
        <w:pStyle w:val="APABody"/>
      </w:pPr>
      <w:r>
        <w:t xml:space="preserve">According to an article by Howard, Williams, Sen, Shah, Daurak, Bird, Loh &amp; Howard (2009), “…few studies exploring the use of educational tools can be found in the literature, and despite the evidence, health care workers’ compliance with infection control, and hand decontamination is poor with doctors performing particularly badly (p. 35).”  The group devised a “simplified evidence-based clean practice protocol (CPP) in an effort to improve “the education, awareness, and clinical practice of the surgical teams…with regard to infection control (p. 30).” </w:t>
      </w:r>
    </w:p>
    <w:p w:rsidR="00256733" w:rsidRDefault="00256733" w:rsidP="00256733">
      <w:pPr>
        <w:pStyle w:val="APABody"/>
      </w:pPr>
      <w:r>
        <w:rPr>
          <w:vanish/>
        </w:rPr>
        <w:lastRenderedPageBreak/>
        <w:t>ow</w:t>
      </w:r>
      <w:r>
        <w:t xml:space="preserve"> Howard et. al. used an audit instrument with a scoring system to evaluate how compliant staff was with this CPP approa</w:t>
      </w:r>
      <w:r w:rsidR="00CF3121">
        <w:t>ch.  According to Howard et. al.</w:t>
      </w:r>
      <w:r>
        <w:t xml:space="preserve"> (2009),  “…the development and introduction of simple evidence-based CPP combined with the use of a clear CPP poster, significantly improved the compliance of surgical teams in hand decontamination procedures and overall infection control on surgical consultant ward-rounds (pp 34-35).”  The overall conclusion discovered by Howard et. al. (2009) is that “evidence-based clean practice protocol significantly improved clinical compliance of hand decontamination, correct usage of gloves and aprons, and overall infection control in a large teaching hospital (Howard et. al., 2009, p. 38).”</w:t>
      </w:r>
    </w:p>
    <w:p w:rsidR="00652019" w:rsidRDefault="00CF3121" w:rsidP="00652019">
      <w:pPr>
        <w:pStyle w:val="APABody"/>
      </w:pPr>
      <w:r>
        <w:t xml:space="preserve">A second study used an unorthodox approach to educating healthcare workers about hand hygiene.  </w:t>
      </w:r>
      <w:r w:rsidR="00F65120">
        <w:t xml:space="preserve">According to Siderits, Dikon, &amp; Godyn (2006), “Although hand hygiene is a critically important topic in healthcare, the excitement surrounding most educational presentations that deal with the subject is often underwhelming (p. 1053).”  Siderits et. al. (2009) decided to embark on a new approach in educating healthcare staff about hand hygiene.  </w:t>
      </w:r>
      <w:r w:rsidR="009C5A5B">
        <w:t xml:space="preserve">The group decided to use “humor, unorthodox perspectives on the topic, and some out-of-the-ordinary activities related to content delivery (p. 1053).”  </w:t>
      </w:r>
    </w:p>
    <w:p w:rsidR="006B5ED0" w:rsidRDefault="009C5A5B" w:rsidP="00652019">
      <w:pPr>
        <w:pStyle w:val="APABody"/>
      </w:pPr>
      <w:r>
        <w:t>Siderits et. al. (2009) designed a presentation called “The Dirty Hands” which addressed both the neurological representation and psychological associations involved in hand washing.  Music related to hands</w:t>
      </w:r>
      <w:r w:rsidR="00CF3121">
        <w:t xml:space="preserve"> such as</w:t>
      </w:r>
      <w:r w:rsidR="00CF3121" w:rsidRPr="00CF3121">
        <w:t xml:space="preserve"> </w:t>
      </w:r>
      <w:r w:rsidR="00CF3121">
        <w:t>I want to hold your hand in mine,” and the “Hand-Jive”</w:t>
      </w:r>
      <w:r>
        <w:t xml:space="preserve"> </w:t>
      </w:r>
      <w:r w:rsidR="00823ED9">
        <w:t>played</w:t>
      </w:r>
      <w:r>
        <w:t xml:space="preserve"> as </w:t>
      </w:r>
      <w:r w:rsidR="00823ED9">
        <w:t>participants</w:t>
      </w:r>
      <w:r>
        <w:t xml:space="preserve"> entered the lecture hall</w:t>
      </w:r>
      <w:r w:rsidR="00CF3121">
        <w:t>.</w:t>
      </w:r>
      <w:r w:rsidR="00823ED9">
        <w:t xml:space="preserve"> </w:t>
      </w:r>
      <w:r w:rsidR="00CF3121">
        <w:t>I</w:t>
      </w:r>
      <w:r w:rsidR="00823ED9">
        <w:t>n each presentation,</w:t>
      </w:r>
      <w:r w:rsidR="00CF3121">
        <w:t xml:space="preserve"> without prompting,</w:t>
      </w:r>
      <w:r w:rsidR="00823ED9">
        <w:t xml:space="preserve"> an audience member would begin to perform the “Hand</w:t>
      </w:r>
      <w:r w:rsidR="00CF3121">
        <w:t xml:space="preserve">-Jive.”  This musical approach subconsciously motivated </w:t>
      </w:r>
      <w:r w:rsidR="00823ED9">
        <w:t xml:space="preserve">participants to pay attention to </w:t>
      </w:r>
      <w:r w:rsidR="00CF3121">
        <w:t xml:space="preserve">his or her </w:t>
      </w:r>
      <w:r w:rsidR="00823ED9">
        <w:t xml:space="preserve">hands.  The presenter </w:t>
      </w:r>
      <w:r w:rsidR="00CF3121">
        <w:t>then appeared on</w:t>
      </w:r>
      <w:r w:rsidR="00823ED9">
        <w:t xml:space="preserve"> stage and introduce</w:t>
      </w:r>
      <w:r w:rsidR="00CF3121">
        <w:t>d</w:t>
      </w:r>
      <w:r w:rsidR="00823ED9">
        <w:t xml:space="preserve"> the topic of hand-hygiene while lemon-scented towelettes were handed out to the audience members.  A volunteer from the audience was selected to cover her hands in soft cream </w:t>
      </w:r>
      <w:r w:rsidR="00823ED9">
        <w:lastRenderedPageBreak/>
        <w:t>cheese</w:t>
      </w:r>
      <w:r w:rsidR="006B5ED0">
        <w:t xml:space="preserve"> and</w:t>
      </w:r>
      <w:r w:rsidR="00823ED9">
        <w:t xml:space="preserve"> leave it there for the </w:t>
      </w:r>
      <w:r w:rsidR="006B5ED0">
        <w:t>duration of</w:t>
      </w:r>
      <w:r w:rsidR="007D0C66">
        <w:t xml:space="preserve"> the presentation.  </w:t>
      </w:r>
      <w:r w:rsidR="006B5ED0">
        <w:t xml:space="preserve">The volunteer </w:t>
      </w:r>
      <w:r w:rsidR="007D0C66">
        <w:t>was not allowed to touch anything</w:t>
      </w:r>
      <w:r w:rsidR="006B5ED0">
        <w:t xml:space="preserve"> which served to increase</w:t>
      </w:r>
      <w:r w:rsidR="007D0C66">
        <w:t xml:space="preserve"> awareness of her hands not only for herself but for </w:t>
      </w:r>
      <w:r w:rsidR="006B5ED0">
        <w:t>the</w:t>
      </w:r>
      <w:r w:rsidR="007D0C66">
        <w:t xml:space="preserve"> audience members as well. (Siderits et. al., 2009, p. 1053)</w:t>
      </w:r>
      <w:r w:rsidR="006B5ED0">
        <w:t xml:space="preserve"> At the conclusion of the presentation</w:t>
      </w:r>
      <w:r w:rsidR="00B725E3">
        <w:t>, hand</w:t>
      </w:r>
      <w:r w:rsidR="00A60A62">
        <w:t>-outs</w:t>
      </w:r>
      <w:r w:rsidR="000F63EF">
        <w:t xml:space="preserve"> such as key-chains, pens, and other items were given as reminders to the audience members.  </w:t>
      </w:r>
    </w:p>
    <w:p w:rsidR="007D0C66" w:rsidRDefault="003D25DC" w:rsidP="00652019">
      <w:pPr>
        <w:pStyle w:val="APABody"/>
      </w:pPr>
      <w:r>
        <w:t>Siderits et al. (2009) discovered the presentation was well received and repeat requests for more presentations continued.   According to Siderits et. al. (2009), “…the humorous and varied components of the presentation serve to enhance the overall value of the educational content, and they increase the likelihood of staff member compliance with quality improvement initiatives…(p. 1057).”</w:t>
      </w:r>
      <w:r w:rsidR="006B5ED0">
        <w:t xml:space="preserve">  The technique used in this study left a lasting impression which increased compliance rates and motivated individuals to be excited about hand hygiene.</w:t>
      </w:r>
    </w:p>
    <w:p w:rsidR="00943888" w:rsidRDefault="00EF75B1" w:rsidP="00652019">
      <w:pPr>
        <w:pStyle w:val="APABody"/>
      </w:pPr>
      <w:r>
        <w:t>A</w:t>
      </w:r>
      <w:r w:rsidR="006B5ED0">
        <w:t xml:space="preserve"> third</w:t>
      </w:r>
      <w:r>
        <w:t xml:space="preserve"> approach used by Eldridge, Woods, Bonello, Clutter, Ellinson, Harris, Linvingston, Bagian, Danko, Dunn, Parlier, Pederson, R</w:t>
      </w:r>
      <w:r w:rsidR="00355270">
        <w:t>e</w:t>
      </w:r>
      <w:r>
        <w:t>ichling, Roselle, &amp; Wright</w:t>
      </w:r>
      <w:r w:rsidR="00355270">
        <w:t xml:space="preserve"> (2006), studied the effects of using the “Six Sigma Process” in the implementation of hand hygiene practices in four intensive care units.  According to Eldridge et. al. (2006), </w:t>
      </w:r>
    </w:p>
    <w:p w:rsidR="00EF75B1" w:rsidRDefault="00943888" w:rsidP="00652019">
      <w:pPr>
        <w:pStyle w:val="APABody"/>
      </w:pPr>
      <w:r>
        <w:tab/>
      </w:r>
      <w:r w:rsidR="00355270">
        <w:t xml:space="preserve">The Six Sigma process focuses on identifying critical points where changes </w:t>
      </w:r>
      <w:r>
        <w:tab/>
      </w:r>
      <w:r>
        <w:tab/>
      </w:r>
      <w:r>
        <w:tab/>
      </w:r>
      <w:r w:rsidR="00355270">
        <w:t xml:space="preserve">should be made, making those changes, and ensuring that the changes are </w:t>
      </w:r>
      <w:r>
        <w:tab/>
      </w:r>
      <w:r>
        <w:tab/>
      </w:r>
      <w:r>
        <w:tab/>
      </w:r>
      <w:r>
        <w:tab/>
      </w:r>
      <w:r w:rsidR="00355270">
        <w:t>established as permanent practice.</w:t>
      </w:r>
      <w:r>
        <w:t xml:space="preserve">  The version of the Six Sigma process </w:t>
      </w:r>
      <w:r>
        <w:tab/>
      </w:r>
      <w:r>
        <w:tab/>
      </w:r>
      <w:r>
        <w:tab/>
      </w:r>
      <w:r>
        <w:tab/>
        <w:t xml:space="preserve">developed and implemented by 3M has 5 steps, Define, Measure, Analyze, </w:t>
      </w:r>
      <w:r>
        <w:tab/>
      </w:r>
      <w:r>
        <w:tab/>
      </w:r>
      <w:r>
        <w:tab/>
        <w:t>Improve, and Control, which are referred to as the acronym DMAIC. (p. S36)</w:t>
      </w:r>
    </w:p>
    <w:p w:rsidR="001C102B" w:rsidRDefault="006B5ED0" w:rsidP="00943888">
      <w:pPr>
        <w:pStyle w:val="APABody"/>
        <w:ind w:firstLine="0"/>
      </w:pPr>
      <w:r>
        <w:t>T</w:t>
      </w:r>
      <w:r w:rsidR="00943888">
        <w:t xml:space="preserve">he team of investigators designed a list of “Six Sigma Hand Hygiene Interventions” to be put into place which included hand hygiene reminders such as posters, </w:t>
      </w:r>
      <w:r w:rsidR="00FE5F44">
        <w:t xml:space="preserve">placement of alcohol hand dispensers, and “It’s ok to ask” buttons and posters.  The “It’s ok to ask” buttons and posters </w:t>
      </w:r>
      <w:r w:rsidR="00FE5F44">
        <w:lastRenderedPageBreak/>
        <w:t>encouraged patients and families to ask his or her healthcare workers if they had o</w:t>
      </w:r>
      <w:r>
        <w:t>r would wash his or her hands.</w:t>
      </w:r>
      <w:r w:rsidR="00FE5F44">
        <w:t xml:space="preserve"> (Eldridge et. al., 2006, pp. S</w:t>
      </w:r>
      <w:r w:rsidR="007F4622">
        <w:t>35</w:t>
      </w:r>
      <w:r w:rsidR="00FE5F44">
        <w:t>- S42)</w:t>
      </w:r>
      <w:r w:rsidR="007F4622">
        <w:t xml:space="preserve"> </w:t>
      </w:r>
      <w:r>
        <w:t xml:space="preserve"> </w:t>
      </w:r>
      <w:r w:rsidR="00FE5F44">
        <w:t xml:space="preserve">Audits </w:t>
      </w:r>
      <w:r>
        <w:t>of observed hand washing were performed and rearranging of</w:t>
      </w:r>
      <w:r w:rsidR="00FE5F44">
        <w:t xml:space="preserve"> signs and posters were completed throughout the process.  The results of these actions proved to be quite favorable.  </w:t>
      </w:r>
      <w:r w:rsidR="007F4622">
        <w:t xml:space="preserve">Eldridge et. al. (2006), observed an 80% compliance rate along with </w:t>
      </w:r>
      <w:r w:rsidR="001C102B">
        <w:t>increased quantity use of ABHR’s.  (p. S41)</w:t>
      </w:r>
    </w:p>
    <w:p w:rsidR="006B5ED0" w:rsidRDefault="001C102B" w:rsidP="001C102B">
      <w:pPr>
        <w:pStyle w:val="APABody"/>
      </w:pPr>
      <w:r>
        <w:t xml:space="preserve"> </w:t>
      </w:r>
      <w:r w:rsidR="00185E08">
        <w:t xml:space="preserve">Maxfield and Dull (2011) performed a study to determine six sources that “motivate and enable people to change through personal, social, and structural forces and see how they were used to improve hand-washing patterns at a large health care system (p. 30).”  A facility whose hand hygiene compliance rate was 60% agreed to adopt “vital behaviors.”  The three vital behaviors were: </w:t>
      </w:r>
      <w:r w:rsidR="006B5ED0">
        <w:t xml:space="preserve"> </w:t>
      </w:r>
      <w:r w:rsidR="00185E08">
        <w:t>WIWO (Wash in and wash out) meaning every</w:t>
      </w:r>
      <w:r w:rsidR="008A0F9F">
        <w:t xml:space="preserve"> </w:t>
      </w:r>
      <w:r w:rsidR="00185E08">
        <w:t>time a healthcare worker entered a room he or she washed and when he or she left the patient’s room he or she washed again</w:t>
      </w:r>
      <w:r w:rsidR="006B5ED0">
        <w:t xml:space="preserve">;  </w:t>
      </w:r>
      <w:r w:rsidR="008A0F9F">
        <w:t xml:space="preserve"> </w:t>
      </w:r>
      <w:r w:rsidR="006B5ED0">
        <w:t>h</w:t>
      </w:r>
      <w:r w:rsidR="008A0F9F">
        <w:t>old one another accountable for performing hand hygiene</w:t>
      </w:r>
      <w:r w:rsidR="006B5ED0">
        <w:t>; and</w:t>
      </w:r>
      <w:r w:rsidR="008A0F9F">
        <w:t xml:space="preserve"> </w:t>
      </w:r>
      <w:r w:rsidR="006B5ED0">
        <w:t>s</w:t>
      </w:r>
      <w:r w:rsidR="008A0F9F">
        <w:t>ay “Thank you.”  Regardless of who asks the individual to wash his or her hands, the healthcare worker must say “thank you for reminding me.”</w:t>
      </w:r>
      <w:r w:rsidR="00563A40">
        <w:t xml:space="preserve"> (pp. 30-31)  </w:t>
      </w:r>
    </w:p>
    <w:p w:rsidR="00563A40" w:rsidRDefault="00563A40" w:rsidP="001C102B">
      <w:pPr>
        <w:pStyle w:val="APABody"/>
      </w:pPr>
      <w:r>
        <w:t>Following the three vital behaviors, the six sources of influence were put into place.  According to Maxfield &amp; Dull (2011), “The Influence Model organizes influence strategies into six sources that both motivate and enable people to change through personal, social, and structural forces (p. 31)  The six sources include: personal motivation, personal ability, social motivation, social ability, structural motivation, and</w:t>
      </w:r>
      <w:r w:rsidR="00E54B73">
        <w:t xml:space="preserve"> structural ability. </w:t>
      </w:r>
      <w:r w:rsidR="00A720D1">
        <w:t xml:space="preserve"> The six sources are customized to each unit and the results demonstrated a 95% compliance rate one year </w:t>
      </w:r>
      <w:r w:rsidR="00E54B73">
        <w:t xml:space="preserve">after implementing this study. </w:t>
      </w:r>
      <w:r w:rsidR="00A720D1">
        <w:t xml:space="preserve"> (Maxfield &amp; Dull, 2011, pp. 31-33)</w:t>
      </w:r>
    </w:p>
    <w:p w:rsidR="001218A5" w:rsidRDefault="001218A5" w:rsidP="001218A5">
      <w:pPr>
        <w:pStyle w:val="APABody"/>
        <w:ind w:firstLine="0"/>
        <w:rPr>
          <w:b/>
        </w:rPr>
      </w:pPr>
      <w:r>
        <w:rPr>
          <w:b/>
        </w:rPr>
        <w:t>Advantages to Staff, Patient, and Agency</w:t>
      </w:r>
    </w:p>
    <w:p w:rsidR="001218A5" w:rsidRDefault="001218A5" w:rsidP="001218A5">
      <w:pPr>
        <w:pStyle w:val="APABody"/>
      </w:pPr>
      <w:r>
        <w:lastRenderedPageBreak/>
        <w:t>The advantages to t</w:t>
      </w:r>
      <w:r w:rsidR="00E54B73">
        <w:t xml:space="preserve">he different studies discussed included: </w:t>
      </w:r>
      <w:r>
        <w:t xml:space="preserve"> increased compliance in hand hygiene among healthcare workers, decreased HAI rates, and increased patient satisfaction.  There is much to be learned and put into practice to improve one’s knowledge of hand hygiene and its effects on patients.  It is disturbing </w:t>
      </w:r>
      <w:r w:rsidR="00E54B73">
        <w:t xml:space="preserve">that hand hygiene </w:t>
      </w:r>
      <w:r>
        <w:t xml:space="preserve">is a topic so easily swept under the rug.  Healthcare providers must </w:t>
      </w:r>
      <w:r w:rsidR="00E54B73">
        <w:t>strive to educate themselves and improve hand hygiene compliance recognizing it high level of importance</w:t>
      </w:r>
      <w:r w:rsidR="001F7AEB">
        <w:t xml:space="preserve">.   </w:t>
      </w:r>
    </w:p>
    <w:p w:rsidR="001F7AEB" w:rsidRDefault="001F7AEB" w:rsidP="001218A5">
      <w:pPr>
        <w:pStyle w:val="APABody"/>
      </w:pPr>
      <w:r>
        <w:t xml:space="preserve">This writer </w:t>
      </w:r>
      <w:r w:rsidR="00E54B73">
        <w:t>discovered valuable</w:t>
      </w:r>
      <w:r>
        <w:t xml:space="preserve"> information and </w:t>
      </w:r>
      <w:r w:rsidR="00E54B73">
        <w:t xml:space="preserve">increased </w:t>
      </w:r>
      <w:r>
        <w:t>motivation regarding hand hygiene</w:t>
      </w:r>
      <w:r w:rsidR="00E54B73">
        <w:t>.</w:t>
      </w:r>
      <w:r>
        <w:t xml:space="preserve">  There have been many more techniques discussed and unique ideas</w:t>
      </w:r>
      <w:r w:rsidR="00E54B73">
        <w:t xml:space="preserve"> used</w:t>
      </w:r>
      <w:r>
        <w:t xml:space="preserve"> to motivate health care providers to be more cognizant of the importance of hand hygiene. This writer will continue research on this topic and </w:t>
      </w:r>
      <w:r w:rsidR="00E54B73">
        <w:t>seek</w:t>
      </w:r>
      <w:r>
        <w:t xml:space="preserve"> to incorporate new techniques not only in this writer’s department but also the entire facility.  </w:t>
      </w:r>
      <w:r w:rsidR="00E54B73">
        <w:t>It is this writer’s goal to form a hand hygiene committee to motivate healthcare workers to get excited about hand hygiene.</w:t>
      </w:r>
    </w:p>
    <w:p w:rsidR="00746803" w:rsidRDefault="00746803" w:rsidP="00746803">
      <w:pPr>
        <w:pStyle w:val="APABody"/>
        <w:ind w:firstLine="0"/>
        <w:rPr>
          <w:b/>
        </w:rPr>
      </w:pPr>
      <w:r>
        <w:rPr>
          <w:b/>
        </w:rPr>
        <w:t>What was learned about the process and the PICOT format?</w:t>
      </w:r>
    </w:p>
    <w:p w:rsidR="00746803" w:rsidRDefault="00746803" w:rsidP="00746803">
      <w:pPr>
        <w:pStyle w:val="APABody"/>
      </w:pPr>
      <w:r>
        <w:t xml:space="preserve">This writer was admittedly overwhelmed about tackling </w:t>
      </w:r>
      <w:r w:rsidR="00E54B73">
        <w:t>this project.</w:t>
      </w:r>
      <w:r>
        <w:t xml:space="preserve">  This project, when looking at it as a whole, seemed like an insurmountable task.  The PICOT format</w:t>
      </w:r>
      <w:r w:rsidR="00E54B73">
        <w:t xml:space="preserve"> simplified</w:t>
      </w:r>
      <w:r>
        <w:t xml:space="preserve"> this project and </w:t>
      </w:r>
      <w:r w:rsidR="00E54B73">
        <w:t xml:space="preserve">condensed it </w:t>
      </w:r>
      <w:r>
        <w:t xml:space="preserve">into small pieces from which this writer could work from.  The information was easier to piece together and the </w:t>
      </w:r>
      <w:r w:rsidR="00E54B73">
        <w:t>paper</w:t>
      </w:r>
      <w:r>
        <w:t xml:space="preserve"> simply wrote itself as the pieces came together.  The PICOT format also he</w:t>
      </w:r>
      <w:r w:rsidR="00E54B73">
        <w:t>lped this writer stay on task. This</w:t>
      </w:r>
      <w:r>
        <w:t xml:space="preserve"> writer will use</w:t>
      </w:r>
      <w:r w:rsidR="00E54B73">
        <w:t xml:space="preserve"> the PICOT format in</w:t>
      </w:r>
      <w:r>
        <w:t xml:space="preserve"> future research projects including the continuation of this topic.</w:t>
      </w:r>
    </w:p>
    <w:p w:rsidR="00C1540C" w:rsidRPr="00746803" w:rsidRDefault="00C1540C" w:rsidP="00746803">
      <w:pPr>
        <w:pStyle w:val="APABody"/>
      </w:pPr>
      <w:r>
        <w:t xml:space="preserve">In conclusion, hand hygiene is a topic that is not to be dismissed or ignored.  The impact of non-compliance </w:t>
      </w:r>
      <w:r w:rsidR="00E54B73">
        <w:t xml:space="preserve">of </w:t>
      </w:r>
      <w:r>
        <w:t>hand hygiene is devastating</w:t>
      </w:r>
      <w:r w:rsidR="00A06A79">
        <w:t>.</w:t>
      </w:r>
      <w:r>
        <w:t xml:space="preserve">  </w:t>
      </w:r>
      <w:r w:rsidR="00E54B73">
        <w:t xml:space="preserve">Various approaches </w:t>
      </w:r>
      <w:r>
        <w:t xml:space="preserve">of education and motivation </w:t>
      </w:r>
      <w:r w:rsidR="00E54B73">
        <w:t xml:space="preserve">are available to use and build upon. </w:t>
      </w:r>
      <w:r>
        <w:t xml:space="preserve"> </w:t>
      </w:r>
      <w:r w:rsidR="00A06A79">
        <w:t>A</w:t>
      </w:r>
      <w:r>
        <w:t>ccountability</w:t>
      </w:r>
      <w:r w:rsidR="00E54B73">
        <w:t>,</w:t>
      </w:r>
      <w:r>
        <w:t xml:space="preserve"> </w:t>
      </w:r>
      <w:r w:rsidR="00A06A79">
        <w:t>m</w:t>
      </w:r>
      <w:r>
        <w:t>otivation</w:t>
      </w:r>
      <w:r w:rsidR="00E54B73">
        <w:t xml:space="preserve">, and teamwork </w:t>
      </w:r>
      <w:r w:rsidR="00A06A79">
        <w:t>are</w:t>
      </w:r>
      <w:r w:rsidR="002405D8">
        <w:t xml:space="preserve"> essential to</w:t>
      </w:r>
      <w:r>
        <w:t xml:space="preserve"> increased compliance.  </w:t>
      </w:r>
      <w:r w:rsidR="00E54B73">
        <w:t>Facilities need to implement a personalized technique.</w:t>
      </w:r>
    </w:p>
    <w:p w:rsidR="00894F99" w:rsidRDefault="00894F99" w:rsidP="00894F99">
      <w:pPr>
        <w:pStyle w:val="APACenteredText"/>
      </w:pPr>
      <w:r>
        <w:lastRenderedPageBreak/>
        <w:t>References</w:t>
      </w:r>
    </w:p>
    <w:p w:rsidR="00B202E1" w:rsidRDefault="008953A5" w:rsidP="00B202E1">
      <w:pPr>
        <w:pStyle w:val="References"/>
      </w:pPr>
      <w:bookmarkStart w:id="1" w:name="ReferencesBookmark"/>
      <w:r>
        <w:rPr>
          <w:vanish/>
        </w:rPr>
        <w:t>CQI 2011 Total quality management (TQM)</w:t>
      </w:r>
      <w:r>
        <w:t xml:space="preserve">CQI (2011). Total quality management (TQM). Retrieved October 16, 2011, from </w:t>
      </w:r>
      <w:hyperlink r:id="rId7" w:history="1">
        <w:r w:rsidR="00B202E1" w:rsidRPr="004B3610">
          <w:rPr>
            <w:rStyle w:val="Hyperlink"/>
          </w:rPr>
          <w:t>http://www.thecqi.org/.../Factsheets/Total-quality-management</w:t>
        </w:r>
      </w:hyperlink>
    </w:p>
    <w:p w:rsidR="004B5946" w:rsidRDefault="004B5946" w:rsidP="00B202E1">
      <w:pPr>
        <w:pStyle w:val="References"/>
      </w:pPr>
      <w:r>
        <w:t xml:space="preserve">Eldridge, N., Woods, S., Bonello, R., Clutter, K., Ellingson, L., Harris, M., &amp; ... Wright, S. (2006). Using the six sigma process to implement the Centers for Disease Control and Prevention Guideline for Hand Hygiene in 4 intensive care units. </w:t>
      </w:r>
      <w:r>
        <w:rPr>
          <w:i/>
          <w:iCs/>
        </w:rPr>
        <w:t>Journal Of General Internal Medicine</w:t>
      </w:r>
      <w:r>
        <w:t xml:space="preserve">, 21 </w:t>
      </w:r>
      <w:r w:rsidR="002405D8">
        <w:t>Supply</w:t>
      </w:r>
      <w:r>
        <w:t xml:space="preserve"> 2S35-S42. Retrieved from EBSCO</w:t>
      </w:r>
      <w:r>
        <w:rPr>
          <w:i/>
          <w:iCs/>
        </w:rPr>
        <w:t>host</w:t>
      </w:r>
    </w:p>
    <w:p w:rsidR="00185E08" w:rsidRDefault="00B77871" w:rsidP="00185E08">
      <w:pPr>
        <w:pStyle w:val="References"/>
        <w:rPr>
          <w:i/>
          <w:iCs/>
        </w:rPr>
      </w:pPr>
      <w:r>
        <w:t xml:space="preserve">Howard, D., Williams, C., Sen, S., Shah, A., Daurka, J., Bird, R., &amp; ... Howard, A. (2009). A simple effective clean practice protocol significantly improves hand decontamination and infection control measures in the acute surgical setting. </w:t>
      </w:r>
      <w:r>
        <w:rPr>
          <w:i/>
          <w:iCs/>
        </w:rPr>
        <w:t>Infection</w:t>
      </w:r>
      <w:r>
        <w:t>, 37(1), 34-38. Retrieved from EBSCO</w:t>
      </w:r>
      <w:r>
        <w:rPr>
          <w:i/>
          <w:iCs/>
        </w:rPr>
        <w:t>host</w:t>
      </w:r>
    </w:p>
    <w:p w:rsidR="001C102B" w:rsidRPr="00185E08" w:rsidRDefault="001C102B" w:rsidP="00185E08">
      <w:pPr>
        <w:pStyle w:val="References"/>
        <w:rPr>
          <w:i/>
          <w:iCs/>
        </w:rPr>
      </w:pPr>
      <w:r>
        <w:t xml:space="preserve">Maxfield, D., &amp; Dull, D. (2011). Influencing hand hygiene at spectrum health. </w:t>
      </w:r>
      <w:r>
        <w:rPr>
          <w:i/>
          <w:iCs/>
        </w:rPr>
        <w:t>Physician Executive</w:t>
      </w:r>
      <w:r>
        <w:t>, 37(3), 30. Retrieved from EBSCO</w:t>
      </w:r>
      <w:r>
        <w:rPr>
          <w:i/>
          <w:iCs/>
        </w:rPr>
        <w:t>host</w:t>
      </w:r>
      <w:r>
        <w:t>.</w:t>
      </w:r>
    </w:p>
    <w:p w:rsidR="00DC1E76" w:rsidRPr="00DC1E76" w:rsidRDefault="00DC1E76" w:rsidP="00B202E1">
      <w:pPr>
        <w:pStyle w:val="References"/>
      </w:pPr>
      <w:r>
        <w:t>Siderits, R., Dikon, A., &amp; Godyn, J. (2006). Educational innovation</w:t>
      </w:r>
      <w:r w:rsidR="00E0436B">
        <w:t>s. Clean hands, healing hands: A</w:t>
      </w:r>
      <w:r>
        <w:t xml:space="preserve">n unorthodox presentation. </w:t>
      </w:r>
      <w:r>
        <w:rPr>
          <w:i/>
          <w:iCs/>
        </w:rPr>
        <w:t>AORN Journal</w:t>
      </w:r>
      <w:r>
        <w:t>, 84(6), 1053. Retrieved from EBSCO</w:t>
      </w:r>
      <w:r>
        <w:rPr>
          <w:i/>
          <w:iCs/>
        </w:rPr>
        <w:t>host</w:t>
      </w:r>
      <w:r>
        <w:t>.</w:t>
      </w:r>
    </w:p>
    <w:p w:rsidR="00B202E1" w:rsidRDefault="00B202E1" w:rsidP="00B202E1">
      <w:pPr>
        <w:pStyle w:val="References"/>
      </w:pPr>
      <w:r>
        <w:t xml:space="preserve">Smith, S. (2009). A review of hand-washing techniques in primary care and community settings. </w:t>
      </w:r>
      <w:r>
        <w:rPr>
          <w:i/>
          <w:iCs/>
        </w:rPr>
        <w:t>Journal of Clinical Nursing</w:t>
      </w:r>
      <w:r>
        <w:t>, 18(6), 786-790. doi:10.1111/j.1365-2702.2008.02546.x</w:t>
      </w:r>
    </w:p>
    <w:p w:rsidR="008953A5" w:rsidRPr="00CC4B6F" w:rsidRDefault="008953A5" w:rsidP="00894F99">
      <w:pPr>
        <w:pStyle w:val="References"/>
      </w:pPr>
      <w:r>
        <w:rPr>
          <w:vanish/>
        </w:rPr>
        <w:t>Yoder-Wise P S 2011 Leading and managing in nursing</w:t>
      </w:r>
      <w:r>
        <w:t xml:space="preserve">Yoder-Wise, P. S. (2011). </w:t>
      </w:r>
      <w:r>
        <w:rPr>
          <w:i/>
        </w:rPr>
        <w:t>Leading and managing in nursing</w:t>
      </w:r>
      <w:r>
        <w:t xml:space="preserve"> (5th ed.). St. Louise, MO: Elsevier Mosby.</w:t>
      </w:r>
    </w:p>
    <w:bookmarkEnd w:id="1"/>
    <w:p w:rsidR="00894F99" w:rsidRDefault="00894F99" w:rsidP="00894F99">
      <w:pPr>
        <w:pStyle w:val="APABody"/>
      </w:pPr>
      <w:r>
        <w:br w:type="page"/>
      </w:r>
    </w:p>
    <w:p w:rsidR="00B067A5" w:rsidRPr="00B067A5" w:rsidRDefault="00B067A5" w:rsidP="00894F99">
      <w:pPr>
        <w:pStyle w:val="APABody"/>
      </w:pPr>
    </w:p>
    <w:sectPr w:rsidR="00B067A5" w:rsidRPr="00B067A5" w:rsidSect="00894F9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CD9" w:rsidRDefault="003D1CD9" w:rsidP="00B32BB6">
      <w:pPr>
        <w:spacing w:line="240" w:lineRule="auto"/>
      </w:pPr>
      <w:r>
        <w:separator/>
      </w:r>
    </w:p>
  </w:endnote>
  <w:endnote w:type="continuationSeparator" w:id="0">
    <w:p w:rsidR="003D1CD9" w:rsidRDefault="003D1CD9"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CD9" w:rsidRDefault="003D1CD9" w:rsidP="00B32BB6">
      <w:pPr>
        <w:spacing w:line="240" w:lineRule="auto"/>
      </w:pPr>
      <w:r>
        <w:separator/>
      </w:r>
    </w:p>
  </w:footnote>
  <w:footnote w:type="continuationSeparator" w:id="0">
    <w:p w:rsidR="003D1CD9" w:rsidRDefault="003D1CD9"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BA" w:rsidRPr="00894F99" w:rsidRDefault="00A925BA" w:rsidP="00894F99">
    <w:pPr>
      <w:pStyle w:val="APAHeader"/>
      <w:tabs>
        <w:tab w:val="right" w:pos="9360"/>
      </w:tabs>
    </w:pPr>
    <w:r>
      <w:t>HANDWASHING EDUCATION</w:t>
    </w:r>
    <w:r>
      <w:tab/>
    </w:r>
    <w:fldSimple w:instr=" PAGE  \* MERGEFORMAT ">
      <w:r w:rsidR="00B725E3">
        <w:rPr>
          <w:noProof/>
        </w:rPr>
        <w:t>10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5BA" w:rsidRPr="00894F99" w:rsidRDefault="00A925BA" w:rsidP="00894F99">
    <w:pPr>
      <w:pStyle w:val="APAHeader"/>
      <w:tabs>
        <w:tab w:val="right" w:pos="9360"/>
      </w:tabs>
    </w:pPr>
    <w:r>
      <w:t xml:space="preserve">Running head: HANDWASHING EDUCATION </w:t>
    </w:r>
    <w:r>
      <w:tab/>
    </w:r>
    <w:fldSimple w:instr=" PAGE  \* MERGEFORMAT ">
      <w:r w:rsidR="00B725E3">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psAdvancedSort" w:val="True"/>
    <w:docVar w:name="rpsAutoSort" w:val="True"/>
    <w:docVar w:name="rpsCitationList" w:val="|Yoder-Wise(2011)|CQI(2011)|"/>
    <w:docVar w:name="rpsInsertCitation" w:val="True"/>
    <w:docVar w:name="rpsReferencePageCreated" w:val="True"/>
    <w:docVar w:name="rpsSaveCitation" w:val="True"/>
  </w:docVars>
  <w:rsids>
    <w:rsidRoot w:val="00421AE0"/>
    <w:rsid w:val="00001605"/>
    <w:rsid w:val="000045D4"/>
    <w:rsid w:val="00004D04"/>
    <w:rsid w:val="00005BC0"/>
    <w:rsid w:val="00007E24"/>
    <w:rsid w:val="00011D3E"/>
    <w:rsid w:val="00013431"/>
    <w:rsid w:val="000143E9"/>
    <w:rsid w:val="00014CF8"/>
    <w:rsid w:val="00014ED4"/>
    <w:rsid w:val="000153A1"/>
    <w:rsid w:val="00016099"/>
    <w:rsid w:val="00016911"/>
    <w:rsid w:val="00016A76"/>
    <w:rsid w:val="00016C0D"/>
    <w:rsid w:val="000179AE"/>
    <w:rsid w:val="000223F0"/>
    <w:rsid w:val="000237AC"/>
    <w:rsid w:val="0002593A"/>
    <w:rsid w:val="00025DEB"/>
    <w:rsid w:val="000276CD"/>
    <w:rsid w:val="00030204"/>
    <w:rsid w:val="0003040F"/>
    <w:rsid w:val="00030FBF"/>
    <w:rsid w:val="0003350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1C5D"/>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37DB"/>
    <w:rsid w:val="000B3899"/>
    <w:rsid w:val="000B3E80"/>
    <w:rsid w:val="000B78FB"/>
    <w:rsid w:val="000C005E"/>
    <w:rsid w:val="000C130A"/>
    <w:rsid w:val="000C18A3"/>
    <w:rsid w:val="000C5E73"/>
    <w:rsid w:val="000C76FA"/>
    <w:rsid w:val="000C7980"/>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0F63EF"/>
    <w:rsid w:val="00104697"/>
    <w:rsid w:val="00106B35"/>
    <w:rsid w:val="00106D6B"/>
    <w:rsid w:val="001114AF"/>
    <w:rsid w:val="00112291"/>
    <w:rsid w:val="0011329A"/>
    <w:rsid w:val="001218A5"/>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0194"/>
    <w:rsid w:val="00163322"/>
    <w:rsid w:val="00163497"/>
    <w:rsid w:val="00163A5F"/>
    <w:rsid w:val="00166DFC"/>
    <w:rsid w:val="00171521"/>
    <w:rsid w:val="00171D5E"/>
    <w:rsid w:val="00172729"/>
    <w:rsid w:val="0017350F"/>
    <w:rsid w:val="001753CE"/>
    <w:rsid w:val="001763B1"/>
    <w:rsid w:val="00182836"/>
    <w:rsid w:val="001852ED"/>
    <w:rsid w:val="00185E08"/>
    <w:rsid w:val="00193252"/>
    <w:rsid w:val="001947BA"/>
    <w:rsid w:val="00196647"/>
    <w:rsid w:val="0019712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791C"/>
    <w:rsid w:val="001C0213"/>
    <w:rsid w:val="001C102B"/>
    <w:rsid w:val="001C2114"/>
    <w:rsid w:val="001C4BCF"/>
    <w:rsid w:val="001C6487"/>
    <w:rsid w:val="001C7E69"/>
    <w:rsid w:val="001D1439"/>
    <w:rsid w:val="001D3407"/>
    <w:rsid w:val="001D5D7A"/>
    <w:rsid w:val="001D75CF"/>
    <w:rsid w:val="001E0437"/>
    <w:rsid w:val="001E0646"/>
    <w:rsid w:val="001E294C"/>
    <w:rsid w:val="001E4519"/>
    <w:rsid w:val="001E4AFD"/>
    <w:rsid w:val="001E5DB6"/>
    <w:rsid w:val="001E73A2"/>
    <w:rsid w:val="001E7BD9"/>
    <w:rsid w:val="001F055C"/>
    <w:rsid w:val="001F158C"/>
    <w:rsid w:val="001F1758"/>
    <w:rsid w:val="001F1809"/>
    <w:rsid w:val="001F5EE8"/>
    <w:rsid w:val="001F697E"/>
    <w:rsid w:val="001F6B38"/>
    <w:rsid w:val="001F6FAF"/>
    <w:rsid w:val="001F7AEB"/>
    <w:rsid w:val="001F7C9C"/>
    <w:rsid w:val="002028FE"/>
    <w:rsid w:val="002043C0"/>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3630"/>
    <w:rsid w:val="002344FE"/>
    <w:rsid w:val="00235EA0"/>
    <w:rsid w:val="00236ADF"/>
    <w:rsid w:val="00236DBB"/>
    <w:rsid w:val="002405D8"/>
    <w:rsid w:val="0024080B"/>
    <w:rsid w:val="00240DDF"/>
    <w:rsid w:val="00241D04"/>
    <w:rsid w:val="00241E56"/>
    <w:rsid w:val="00243E1B"/>
    <w:rsid w:val="002446DB"/>
    <w:rsid w:val="00247E5B"/>
    <w:rsid w:val="002506E8"/>
    <w:rsid w:val="0025250D"/>
    <w:rsid w:val="00254833"/>
    <w:rsid w:val="00254EC9"/>
    <w:rsid w:val="00256733"/>
    <w:rsid w:val="00256FBE"/>
    <w:rsid w:val="0025799C"/>
    <w:rsid w:val="0026250C"/>
    <w:rsid w:val="00262C83"/>
    <w:rsid w:val="00263732"/>
    <w:rsid w:val="00265B51"/>
    <w:rsid w:val="00266AF8"/>
    <w:rsid w:val="00266BDE"/>
    <w:rsid w:val="00270890"/>
    <w:rsid w:val="00270EF2"/>
    <w:rsid w:val="00271A7A"/>
    <w:rsid w:val="00273479"/>
    <w:rsid w:val="00273EB0"/>
    <w:rsid w:val="002749B5"/>
    <w:rsid w:val="00275FF8"/>
    <w:rsid w:val="00276F8C"/>
    <w:rsid w:val="002776D6"/>
    <w:rsid w:val="002779F2"/>
    <w:rsid w:val="002818E7"/>
    <w:rsid w:val="0028254E"/>
    <w:rsid w:val="00284D57"/>
    <w:rsid w:val="00286EE2"/>
    <w:rsid w:val="002903BC"/>
    <w:rsid w:val="00295C88"/>
    <w:rsid w:val="00297030"/>
    <w:rsid w:val="002A002D"/>
    <w:rsid w:val="002A0C63"/>
    <w:rsid w:val="002A73C6"/>
    <w:rsid w:val="002B1592"/>
    <w:rsid w:val="002B2FC8"/>
    <w:rsid w:val="002B74DE"/>
    <w:rsid w:val="002B7D1C"/>
    <w:rsid w:val="002C1B2D"/>
    <w:rsid w:val="002C55B4"/>
    <w:rsid w:val="002C5A68"/>
    <w:rsid w:val="002C5C2B"/>
    <w:rsid w:val="002C6909"/>
    <w:rsid w:val="002C6A8F"/>
    <w:rsid w:val="002C7D1B"/>
    <w:rsid w:val="002D07F8"/>
    <w:rsid w:val="002D46DB"/>
    <w:rsid w:val="002D5D9E"/>
    <w:rsid w:val="002D654A"/>
    <w:rsid w:val="002D6747"/>
    <w:rsid w:val="002E01B5"/>
    <w:rsid w:val="002E12FC"/>
    <w:rsid w:val="002E1D34"/>
    <w:rsid w:val="002E4AB8"/>
    <w:rsid w:val="002E5B1D"/>
    <w:rsid w:val="002E685C"/>
    <w:rsid w:val="002F1400"/>
    <w:rsid w:val="002F25A2"/>
    <w:rsid w:val="002F2F60"/>
    <w:rsid w:val="002F67BE"/>
    <w:rsid w:val="00302C74"/>
    <w:rsid w:val="00303184"/>
    <w:rsid w:val="003156B0"/>
    <w:rsid w:val="00316014"/>
    <w:rsid w:val="00320693"/>
    <w:rsid w:val="00320BBA"/>
    <w:rsid w:val="003229C2"/>
    <w:rsid w:val="00322A36"/>
    <w:rsid w:val="00324230"/>
    <w:rsid w:val="00326305"/>
    <w:rsid w:val="00327C89"/>
    <w:rsid w:val="00330492"/>
    <w:rsid w:val="003355C1"/>
    <w:rsid w:val="0034168B"/>
    <w:rsid w:val="0034457B"/>
    <w:rsid w:val="003449E8"/>
    <w:rsid w:val="00344A4B"/>
    <w:rsid w:val="00345F38"/>
    <w:rsid w:val="00347A4D"/>
    <w:rsid w:val="00355270"/>
    <w:rsid w:val="00355D4D"/>
    <w:rsid w:val="0035624B"/>
    <w:rsid w:val="00356CDE"/>
    <w:rsid w:val="0036121B"/>
    <w:rsid w:val="00361F36"/>
    <w:rsid w:val="0036254B"/>
    <w:rsid w:val="00363A87"/>
    <w:rsid w:val="0036460E"/>
    <w:rsid w:val="00365546"/>
    <w:rsid w:val="00365A15"/>
    <w:rsid w:val="00365D94"/>
    <w:rsid w:val="00376E84"/>
    <w:rsid w:val="003832FC"/>
    <w:rsid w:val="00383FF2"/>
    <w:rsid w:val="00384B74"/>
    <w:rsid w:val="00385609"/>
    <w:rsid w:val="0038648A"/>
    <w:rsid w:val="00387815"/>
    <w:rsid w:val="00387F81"/>
    <w:rsid w:val="00390F5D"/>
    <w:rsid w:val="00395805"/>
    <w:rsid w:val="00396013"/>
    <w:rsid w:val="003A3030"/>
    <w:rsid w:val="003A3611"/>
    <w:rsid w:val="003A47D8"/>
    <w:rsid w:val="003A534A"/>
    <w:rsid w:val="003A5B5D"/>
    <w:rsid w:val="003B4FC9"/>
    <w:rsid w:val="003C05E6"/>
    <w:rsid w:val="003C39A6"/>
    <w:rsid w:val="003C3A53"/>
    <w:rsid w:val="003C472D"/>
    <w:rsid w:val="003C64A8"/>
    <w:rsid w:val="003C757D"/>
    <w:rsid w:val="003D1CD9"/>
    <w:rsid w:val="003D25DC"/>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1AE0"/>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54A6"/>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5946"/>
    <w:rsid w:val="004B6F2D"/>
    <w:rsid w:val="004C1BE8"/>
    <w:rsid w:val="004C2945"/>
    <w:rsid w:val="004C36CB"/>
    <w:rsid w:val="004C4E90"/>
    <w:rsid w:val="004C7755"/>
    <w:rsid w:val="004D1456"/>
    <w:rsid w:val="004D3722"/>
    <w:rsid w:val="004D43C7"/>
    <w:rsid w:val="004E1446"/>
    <w:rsid w:val="004E521D"/>
    <w:rsid w:val="004F4B2E"/>
    <w:rsid w:val="004F5321"/>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37BD9"/>
    <w:rsid w:val="005416E0"/>
    <w:rsid w:val="00545232"/>
    <w:rsid w:val="00545A89"/>
    <w:rsid w:val="005502D2"/>
    <w:rsid w:val="00551715"/>
    <w:rsid w:val="0055216D"/>
    <w:rsid w:val="00553441"/>
    <w:rsid w:val="00553A16"/>
    <w:rsid w:val="00556069"/>
    <w:rsid w:val="00556495"/>
    <w:rsid w:val="0055755B"/>
    <w:rsid w:val="00563165"/>
    <w:rsid w:val="00563A40"/>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5D"/>
    <w:rsid w:val="005E44AC"/>
    <w:rsid w:val="005E6D0C"/>
    <w:rsid w:val="005E76B6"/>
    <w:rsid w:val="005F1BDD"/>
    <w:rsid w:val="005F1BF6"/>
    <w:rsid w:val="005F1EA7"/>
    <w:rsid w:val="005F1EFF"/>
    <w:rsid w:val="005F2B27"/>
    <w:rsid w:val="005F30FA"/>
    <w:rsid w:val="005F51FF"/>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3A25"/>
    <w:rsid w:val="006354A3"/>
    <w:rsid w:val="00636FF7"/>
    <w:rsid w:val="00641E05"/>
    <w:rsid w:val="00642BA9"/>
    <w:rsid w:val="00644253"/>
    <w:rsid w:val="006453A7"/>
    <w:rsid w:val="00646450"/>
    <w:rsid w:val="00647CF4"/>
    <w:rsid w:val="00652019"/>
    <w:rsid w:val="00652D7E"/>
    <w:rsid w:val="00653FA4"/>
    <w:rsid w:val="00654434"/>
    <w:rsid w:val="00656629"/>
    <w:rsid w:val="00657AE7"/>
    <w:rsid w:val="00663615"/>
    <w:rsid w:val="00664D3C"/>
    <w:rsid w:val="00667E01"/>
    <w:rsid w:val="0067105E"/>
    <w:rsid w:val="0067164D"/>
    <w:rsid w:val="0067287F"/>
    <w:rsid w:val="00676F1D"/>
    <w:rsid w:val="00677696"/>
    <w:rsid w:val="00677E52"/>
    <w:rsid w:val="00681202"/>
    <w:rsid w:val="00682BA6"/>
    <w:rsid w:val="0068425E"/>
    <w:rsid w:val="00686226"/>
    <w:rsid w:val="00687357"/>
    <w:rsid w:val="0069290E"/>
    <w:rsid w:val="00692FDB"/>
    <w:rsid w:val="00693E7A"/>
    <w:rsid w:val="00694B4B"/>
    <w:rsid w:val="00696681"/>
    <w:rsid w:val="006A1735"/>
    <w:rsid w:val="006A3A7C"/>
    <w:rsid w:val="006A66D7"/>
    <w:rsid w:val="006B16DE"/>
    <w:rsid w:val="006B29B1"/>
    <w:rsid w:val="006B5ED0"/>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1AA9"/>
    <w:rsid w:val="00713436"/>
    <w:rsid w:val="00722B1E"/>
    <w:rsid w:val="0072572F"/>
    <w:rsid w:val="00731779"/>
    <w:rsid w:val="007323D2"/>
    <w:rsid w:val="007327DA"/>
    <w:rsid w:val="00733BDB"/>
    <w:rsid w:val="0073422D"/>
    <w:rsid w:val="00735209"/>
    <w:rsid w:val="007359C7"/>
    <w:rsid w:val="007367F9"/>
    <w:rsid w:val="007416D4"/>
    <w:rsid w:val="00741A51"/>
    <w:rsid w:val="0074347E"/>
    <w:rsid w:val="00744302"/>
    <w:rsid w:val="00746716"/>
    <w:rsid w:val="00746803"/>
    <w:rsid w:val="00746F8F"/>
    <w:rsid w:val="00747F28"/>
    <w:rsid w:val="0075145D"/>
    <w:rsid w:val="007518E2"/>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25E2"/>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0C66"/>
    <w:rsid w:val="007D1C6D"/>
    <w:rsid w:val="007D3CDE"/>
    <w:rsid w:val="007D3F24"/>
    <w:rsid w:val="007D45A4"/>
    <w:rsid w:val="007D6C90"/>
    <w:rsid w:val="007D74FE"/>
    <w:rsid w:val="007D75E7"/>
    <w:rsid w:val="007E037B"/>
    <w:rsid w:val="007E411E"/>
    <w:rsid w:val="007E4383"/>
    <w:rsid w:val="007E678D"/>
    <w:rsid w:val="007F0FEA"/>
    <w:rsid w:val="007F27B3"/>
    <w:rsid w:val="007F4622"/>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3ED9"/>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9D5"/>
    <w:rsid w:val="0089179E"/>
    <w:rsid w:val="0089228D"/>
    <w:rsid w:val="00892E74"/>
    <w:rsid w:val="00893BF5"/>
    <w:rsid w:val="008940EA"/>
    <w:rsid w:val="00894470"/>
    <w:rsid w:val="00894F99"/>
    <w:rsid w:val="008953A5"/>
    <w:rsid w:val="00895EA1"/>
    <w:rsid w:val="00896769"/>
    <w:rsid w:val="00897B80"/>
    <w:rsid w:val="008A06B4"/>
    <w:rsid w:val="008A0951"/>
    <w:rsid w:val="008A0A30"/>
    <w:rsid w:val="008A0F9F"/>
    <w:rsid w:val="008A15FD"/>
    <w:rsid w:val="008A1AE7"/>
    <w:rsid w:val="008A5ADB"/>
    <w:rsid w:val="008A6D05"/>
    <w:rsid w:val="008B1A52"/>
    <w:rsid w:val="008B296A"/>
    <w:rsid w:val="008B332E"/>
    <w:rsid w:val="008C2124"/>
    <w:rsid w:val="008C5A2E"/>
    <w:rsid w:val="008C75FF"/>
    <w:rsid w:val="008D05D1"/>
    <w:rsid w:val="008D0F30"/>
    <w:rsid w:val="008D1B83"/>
    <w:rsid w:val="008D550B"/>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0F4F"/>
    <w:rsid w:val="009214E6"/>
    <w:rsid w:val="00922871"/>
    <w:rsid w:val="009263A1"/>
    <w:rsid w:val="00930801"/>
    <w:rsid w:val="00930E76"/>
    <w:rsid w:val="0093324A"/>
    <w:rsid w:val="00933FC9"/>
    <w:rsid w:val="00935B20"/>
    <w:rsid w:val="00935B95"/>
    <w:rsid w:val="00936D88"/>
    <w:rsid w:val="00937C20"/>
    <w:rsid w:val="00942762"/>
    <w:rsid w:val="00943888"/>
    <w:rsid w:val="00943F32"/>
    <w:rsid w:val="00944311"/>
    <w:rsid w:val="0095457B"/>
    <w:rsid w:val="0095637E"/>
    <w:rsid w:val="00957703"/>
    <w:rsid w:val="00957FEE"/>
    <w:rsid w:val="00963329"/>
    <w:rsid w:val="00963DEC"/>
    <w:rsid w:val="009645C6"/>
    <w:rsid w:val="0096471A"/>
    <w:rsid w:val="0096526E"/>
    <w:rsid w:val="009714FF"/>
    <w:rsid w:val="00971871"/>
    <w:rsid w:val="00973664"/>
    <w:rsid w:val="00974F87"/>
    <w:rsid w:val="00975768"/>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24E2"/>
    <w:rsid w:val="009B36C4"/>
    <w:rsid w:val="009B47B8"/>
    <w:rsid w:val="009B4FF4"/>
    <w:rsid w:val="009B50E6"/>
    <w:rsid w:val="009C086C"/>
    <w:rsid w:val="009C1C55"/>
    <w:rsid w:val="009C5A5B"/>
    <w:rsid w:val="009C6195"/>
    <w:rsid w:val="009C7745"/>
    <w:rsid w:val="009C77B8"/>
    <w:rsid w:val="009C7C46"/>
    <w:rsid w:val="009D2114"/>
    <w:rsid w:val="009D4940"/>
    <w:rsid w:val="009D5E73"/>
    <w:rsid w:val="009D684D"/>
    <w:rsid w:val="009E1EC3"/>
    <w:rsid w:val="009E2929"/>
    <w:rsid w:val="009E349C"/>
    <w:rsid w:val="009E4358"/>
    <w:rsid w:val="009E4D51"/>
    <w:rsid w:val="009E73B0"/>
    <w:rsid w:val="009E7570"/>
    <w:rsid w:val="009F026C"/>
    <w:rsid w:val="009F3470"/>
    <w:rsid w:val="009F4DE4"/>
    <w:rsid w:val="009F5998"/>
    <w:rsid w:val="00A00CF4"/>
    <w:rsid w:val="00A0158F"/>
    <w:rsid w:val="00A021F7"/>
    <w:rsid w:val="00A03B4B"/>
    <w:rsid w:val="00A03D87"/>
    <w:rsid w:val="00A04A6E"/>
    <w:rsid w:val="00A06A79"/>
    <w:rsid w:val="00A07512"/>
    <w:rsid w:val="00A10D2B"/>
    <w:rsid w:val="00A144BE"/>
    <w:rsid w:val="00A15646"/>
    <w:rsid w:val="00A15682"/>
    <w:rsid w:val="00A16B68"/>
    <w:rsid w:val="00A213C4"/>
    <w:rsid w:val="00A22081"/>
    <w:rsid w:val="00A2346A"/>
    <w:rsid w:val="00A249C2"/>
    <w:rsid w:val="00A25CBB"/>
    <w:rsid w:val="00A30455"/>
    <w:rsid w:val="00A33629"/>
    <w:rsid w:val="00A37AFA"/>
    <w:rsid w:val="00A40156"/>
    <w:rsid w:val="00A445F3"/>
    <w:rsid w:val="00A45055"/>
    <w:rsid w:val="00A45C6F"/>
    <w:rsid w:val="00A4645A"/>
    <w:rsid w:val="00A46EDC"/>
    <w:rsid w:val="00A478B7"/>
    <w:rsid w:val="00A50D64"/>
    <w:rsid w:val="00A52177"/>
    <w:rsid w:val="00A550E7"/>
    <w:rsid w:val="00A56271"/>
    <w:rsid w:val="00A57B5B"/>
    <w:rsid w:val="00A57DB0"/>
    <w:rsid w:val="00A6040E"/>
    <w:rsid w:val="00A60A62"/>
    <w:rsid w:val="00A66648"/>
    <w:rsid w:val="00A720D1"/>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25BA"/>
    <w:rsid w:val="00A940D2"/>
    <w:rsid w:val="00A941B1"/>
    <w:rsid w:val="00A95DA9"/>
    <w:rsid w:val="00A961FB"/>
    <w:rsid w:val="00A978D6"/>
    <w:rsid w:val="00A979F6"/>
    <w:rsid w:val="00AA03E5"/>
    <w:rsid w:val="00AA3E6D"/>
    <w:rsid w:val="00AA4AEC"/>
    <w:rsid w:val="00AA50F5"/>
    <w:rsid w:val="00AB3051"/>
    <w:rsid w:val="00AB3FF2"/>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5D70"/>
    <w:rsid w:val="00AE6849"/>
    <w:rsid w:val="00AE7016"/>
    <w:rsid w:val="00AF0F40"/>
    <w:rsid w:val="00AF0F82"/>
    <w:rsid w:val="00AF1CBA"/>
    <w:rsid w:val="00AF5DE6"/>
    <w:rsid w:val="00AF7359"/>
    <w:rsid w:val="00B02BE5"/>
    <w:rsid w:val="00B02FC2"/>
    <w:rsid w:val="00B0461C"/>
    <w:rsid w:val="00B067A5"/>
    <w:rsid w:val="00B0693A"/>
    <w:rsid w:val="00B07F10"/>
    <w:rsid w:val="00B1140D"/>
    <w:rsid w:val="00B1207E"/>
    <w:rsid w:val="00B13B3C"/>
    <w:rsid w:val="00B150D3"/>
    <w:rsid w:val="00B202E1"/>
    <w:rsid w:val="00B20975"/>
    <w:rsid w:val="00B2252E"/>
    <w:rsid w:val="00B22CED"/>
    <w:rsid w:val="00B23F56"/>
    <w:rsid w:val="00B24A17"/>
    <w:rsid w:val="00B25F69"/>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57A28"/>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25E3"/>
    <w:rsid w:val="00B74290"/>
    <w:rsid w:val="00B745D3"/>
    <w:rsid w:val="00B75803"/>
    <w:rsid w:val="00B75BAC"/>
    <w:rsid w:val="00B76602"/>
    <w:rsid w:val="00B767D1"/>
    <w:rsid w:val="00B77871"/>
    <w:rsid w:val="00B77A9B"/>
    <w:rsid w:val="00B8147F"/>
    <w:rsid w:val="00B82591"/>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2BD4"/>
    <w:rsid w:val="00BB31DF"/>
    <w:rsid w:val="00BB515E"/>
    <w:rsid w:val="00BC0EDD"/>
    <w:rsid w:val="00BC2662"/>
    <w:rsid w:val="00BC3CE8"/>
    <w:rsid w:val="00BC5287"/>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43E2"/>
    <w:rsid w:val="00C15168"/>
    <w:rsid w:val="00C1540C"/>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56D"/>
    <w:rsid w:val="00C64999"/>
    <w:rsid w:val="00C66752"/>
    <w:rsid w:val="00C7081C"/>
    <w:rsid w:val="00C71FC5"/>
    <w:rsid w:val="00C72443"/>
    <w:rsid w:val="00C7579D"/>
    <w:rsid w:val="00C76761"/>
    <w:rsid w:val="00C76D90"/>
    <w:rsid w:val="00C817C7"/>
    <w:rsid w:val="00C83327"/>
    <w:rsid w:val="00C83B23"/>
    <w:rsid w:val="00C8551A"/>
    <w:rsid w:val="00C86FB3"/>
    <w:rsid w:val="00C87548"/>
    <w:rsid w:val="00C878B0"/>
    <w:rsid w:val="00C879DA"/>
    <w:rsid w:val="00C90905"/>
    <w:rsid w:val="00C90C9B"/>
    <w:rsid w:val="00C9669E"/>
    <w:rsid w:val="00C96BC3"/>
    <w:rsid w:val="00C9796C"/>
    <w:rsid w:val="00CA240C"/>
    <w:rsid w:val="00CA314B"/>
    <w:rsid w:val="00CA5D14"/>
    <w:rsid w:val="00CB2E09"/>
    <w:rsid w:val="00CB59DB"/>
    <w:rsid w:val="00CB5AB0"/>
    <w:rsid w:val="00CB643F"/>
    <w:rsid w:val="00CB6667"/>
    <w:rsid w:val="00CB7CEA"/>
    <w:rsid w:val="00CC0503"/>
    <w:rsid w:val="00CC0B0C"/>
    <w:rsid w:val="00CC1038"/>
    <w:rsid w:val="00CC1F19"/>
    <w:rsid w:val="00CC1FD2"/>
    <w:rsid w:val="00CC4B49"/>
    <w:rsid w:val="00CC4B6F"/>
    <w:rsid w:val="00CC60A4"/>
    <w:rsid w:val="00CC61B0"/>
    <w:rsid w:val="00CC6845"/>
    <w:rsid w:val="00CD1785"/>
    <w:rsid w:val="00CD6196"/>
    <w:rsid w:val="00CD785B"/>
    <w:rsid w:val="00CE09AA"/>
    <w:rsid w:val="00CE3649"/>
    <w:rsid w:val="00CE4735"/>
    <w:rsid w:val="00CF0784"/>
    <w:rsid w:val="00CF1546"/>
    <w:rsid w:val="00CF174A"/>
    <w:rsid w:val="00CF2E41"/>
    <w:rsid w:val="00CF312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4420D"/>
    <w:rsid w:val="00D512A8"/>
    <w:rsid w:val="00D5233D"/>
    <w:rsid w:val="00D528AE"/>
    <w:rsid w:val="00D53439"/>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423"/>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1E76"/>
    <w:rsid w:val="00DC47BA"/>
    <w:rsid w:val="00DC651D"/>
    <w:rsid w:val="00DD06EB"/>
    <w:rsid w:val="00DD17D8"/>
    <w:rsid w:val="00DD1DCB"/>
    <w:rsid w:val="00DD3156"/>
    <w:rsid w:val="00DD5F99"/>
    <w:rsid w:val="00DD6EAE"/>
    <w:rsid w:val="00DE1FEE"/>
    <w:rsid w:val="00DE7D55"/>
    <w:rsid w:val="00DF2876"/>
    <w:rsid w:val="00DF30D2"/>
    <w:rsid w:val="00DF3F07"/>
    <w:rsid w:val="00DF3F4E"/>
    <w:rsid w:val="00DF4896"/>
    <w:rsid w:val="00E01890"/>
    <w:rsid w:val="00E02E9F"/>
    <w:rsid w:val="00E0436B"/>
    <w:rsid w:val="00E04B1C"/>
    <w:rsid w:val="00E051CA"/>
    <w:rsid w:val="00E05CE7"/>
    <w:rsid w:val="00E100A7"/>
    <w:rsid w:val="00E11B46"/>
    <w:rsid w:val="00E14BFC"/>
    <w:rsid w:val="00E155CE"/>
    <w:rsid w:val="00E15917"/>
    <w:rsid w:val="00E16839"/>
    <w:rsid w:val="00E16C87"/>
    <w:rsid w:val="00E2085F"/>
    <w:rsid w:val="00E231AE"/>
    <w:rsid w:val="00E27975"/>
    <w:rsid w:val="00E30887"/>
    <w:rsid w:val="00E30D12"/>
    <w:rsid w:val="00E315D3"/>
    <w:rsid w:val="00E32160"/>
    <w:rsid w:val="00E326FB"/>
    <w:rsid w:val="00E33938"/>
    <w:rsid w:val="00E35578"/>
    <w:rsid w:val="00E35A50"/>
    <w:rsid w:val="00E35B7E"/>
    <w:rsid w:val="00E35EDA"/>
    <w:rsid w:val="00E35EEF"/>
    <w:rsid w:val="00E36425"/>
    <w:rsid w:val="00E3647D"/>
    <w:rsid w:val="00E373F7"/>
    <w:rsid w:val="00E37CD0"/>
    <w:rsid w:val="00E413E9"/>
    <w:rsid w:val="00E41CFE"/>
    <w:rsid w:val="00E42198"/>
    <w:rsid w:val="00E45367"/>
    <w:rsid w:val="00E458CC"/>
    <w:rsid w:val="00E46BB5"/>
    <w:rsid w:val="00E4736C"/>
    <w:rsid w:val="00E54B73"/>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87A09"/>
    <w:rsid w:val="00E909D0"/>
    <w:rsid w:val="00E92800"/>
    <w:rsid w:val="00E92D2A"/>
    <w:rsid w:val="00E9317A"/>
    <w:rsid w:val="00E942FA"/>
    <w:rsid w:val="00E96405"/>
    <w:rsid w:val="00E972A8"/>
    <w:rsid w:val="00E97884"/>
    <w:rsid w:val="00EA12C4"/>
    <w:rsid w:val="00EA1D5D"/>
    <w:rsid w:val="00EA2161"/>
    <w:rsid w:val="00EA4102"/>
    <w:rsid w:val="00EA4B82"/>
    <w:rsid w:val="00EA4DE5"/>
    <w:rsid w:val="00EA53F0"/>
    <w:rsid w:val="00EA541A"/>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F2DCE"/>
    <w:rsid w:val="00EF2E53"/>
    <w:rsid w:val="00EF334F"/>
    <w:rsid w:val="00EF375C"/>
    <w:rsid w:val="00EF3B03"/>
    <w:rsid w:val="00EF75B1"/>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3B2B"/>
    <w:rsid w:val="00F3498F"/>
    <w:rsid w:val="00F34F62"/>
    <w:rsid w:val="00F35E55"/>
    <w:rsid w:val="00F3767F"/>
    <w:rsid w:val="00F3793A"/>
    <w:rsid w:val="00F3798D"/>
    <w:rsid w:val="00F37F19"/>
    <w:rsid w:val="00F404A4"/>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5120"/>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3D4"/>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5F44"/>
    <w:rsid w:val="00FE63DC"/>
    <w:rsid w:val="00FE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character" w:styleId="Hyperlink">
    <w:name w:val="Hyperlink"/>
    <w:basedOn w:val="DefaultParagraphFont"/>
    <w:uiPriority w:val="99"/>
    <w:unhideWhenUsed/>
    <w:rsid w:val="00B202E1"/>
    <w:rPr>
      <w:color w:val="0000FF" w:themeColor="hyperlink"/>
      <w:u w:val="single"/>
    </w:rPr>
  </w:style>
  <w:style w:type="paragraph" w:customStyle="1" w:styleId="body-paragraph">
    <w:name w:val="body-paragraph"/>
    <w:basedOn w:val="Normal"/>
    <w:rsid w:val="00B202E1"/>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70889622">
      <w:bodyDiv w:val="1"/>
      <w:marLeft w:val="0"/>
      <w:marRight w:val="0"/>
      <w:marTop w:val="0"/>
      <w:marBottom w:val="0"/>
      <w:divBdr>
        <w:top w:val="none" w:sz="0" w:space="0" w:color="auto"/>
        <w:left w:val="none" w:sz="0" w:space="0" w:color="auto"/>
        <w:bottom w:val="none" w:sz="0" w:space="0" w:color="auto"/>
        <w:right w:val="none" w:sz="0" w:space="0" w:color="auto"/>
      </w:divBdr>
      <w:divsChild>
        <w:div w:id="544367700">
          <w:marLeft w:val="0"/>
          <w:marRight w:val="0"/>
          <w:marTop w:val="0"/>
          <w:marBottom w:val="0"/>
          <w:divBdr>
            <w:top w:val="none" w:sz="0" w:space="0" w:color="auto"/>
            <w:left w:val="none" w:sz="0" w:space="0" w:color="auto"/>
            <w:bottom w:val="none" w:sz="0" w:space="0" w:color="auto"/>
            <w:right w:val="none" w:sz="0" w:space="0" w:color="auto"/>
          </w:divBdr>
          <w:divsChild>
            <w:div w:id="1434858197">
              <w:marLeft w:val="0"/>
              <w:marRight w:val="0"/>
              <w:marTop w:val="0"/>
              <w:marBottom w:val="0"/>
              <w:divBdr>
                <w:top w:val="none" w:sz="0" w:space="0" w:color="auto"/>
                <w:left w:val="none" w:sz="0" w:space="0" w:color="auto"/>
                <w:bottom w:val="none" w:sz="0" w:space="0" w:color="auto"/>
                <w:right w:val="none" w:sz="0" w:space="0" w:color="auto"/>
              </w:divBdr>
              <w:divsChild>
                <w:div w:id="791938858">
                  <w:marLeft w:val="0"/>
                  <w:marRight w:val="0"/>
                  <w:marTop w:val="0"/>
                  <w:marBottom w:val="0"/>
                  <w:divBdr>
                    <w:top w:val="none" w:sz="0" w:space="0" w:color="auto"/>
                    <w:left w:val="none" w:sz="0" w:space="0" w:color="auto"/>
                    <w:bottom w:val="none" w:sz="0" w:space="0" w:color="auto"/>
                    <w:right w:val="none" w:sz="0" w:space="0" w:color="auto"/>
                  </w:divBdr>
                  <w:divsChild>
                    <w:div w:id="1369523219">
                      <w:marLeft w:val="0"/>
                      <w:marRight w:val="0"/>
                      <w:marTop w:val="0"/>
                      <w:marBottom w:val="0"/>
                      <w:divBdr>
                        <w:top w:val="none" w:sz="0" w:space="0" w:color="auto"/>
                        <w:left w:val="none" w:sz="0" w:space="0" w:color="auto"/>
                        <w:bottom w:val="none" w:sz="0" w:space="0" w:color="auto"/>
                        <w:right w:val="none" w:sz="0" w:space="0" w:color="auto"/>
                      </w:divBdr>
                      <w:divsChild>
                        <w:div w:id="2089109084">
                          <w:marLeft w:val="0"/>
                          <w:marRight w:val="0"/>
                          <w:marTop w:val="0"/>
                          <w:marBottom w:val="0"/>
                          <w:divBdr>
                            <w:top w:val="none" w:sz="0" w:space="0" w:color="auto"/>
                            <w:left w:val="none" w:sz="0" w:space="0" w:color="auto"/>
                            <w:bottom w:val="none" w:sz="0" w:space="0" w:color="auto"/>
                            <w:right w:val="none" w:sz="0" w:space="0" w:color="auto"/>
                          </w:divBdr>
                          <w:divsChild>
                            <w:div w:id="1181776594">
                              <w:marLeft w:val="0"/>
                              <w:marRight w:val="0"/>
                              <w:marTop w:val="0"/>
                              <w:marBottom w:val="0"/>
                              <w:divBdr>
                                <w:top w:val="none" w:sz="0" w:space="0" w:color="auto"/>
                                <w:left w:val="none" w:sz="0" w:space="0" w:color="auto"/>
                                <w:bottom w:val="none" w:sz="0" w:space="0" w:color="auto"/>
                                <w:right w:val="none" w:sz="0" w:space="0" w:color="auto"/>
                              </w:divBdr>
                              <w:divsChild>
                                <w:div w:id="1450929822">
                                  <w:marLeft w:val="0"/>
                                  <w:marRight w:val="0"/>
                                  <w:marTop w:val="0"/>
                                  <w:marBottom w:val="0"/>
                                  <w:divBdr>
                                    <w:top w:val="none" w:sz="0" w:space="0" w:color="auto"/>
                                    <w:left w:val="none" w:sz="0" w:space="0" w:color="auto"/>
                                    <w:bottom w:val="none" w:sz="0" w:space="0" w:color="auto"/>
                                    <w:right w:val="none" w:sz="0" w:space="0" w:color="auto"/>
                                  </w:divBdr>
                                  <w:divsChild>
                                    <w:div w:id="15194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52463">
      <w:bodyDiv w:val="1"/>
      <w:marLeft w:val="0"/>
      <w:marRight w:val="0"/>
      <w:marTop w:val="0"/>
      <w:marBottom w:val="0"/>
      <w:divBdr>
        <w:top w:val="none" w:sz="0" w:space="0" w:color="auto"/>
        <w:left w:val="none" w:sz="0" w:space="0" w:color="auto"/>
        <w:bottom w:val="none" w:sz="0" w:space="0" w:color="auto"/>
        <w:right w:val="none" w:sz="0" w:space="0" w:color="auto"/>
      </w:divBdr>
      <w:divsChild>
        <w:div w:id="1123767223">
          <w:marLeft w:val="0"/>
          <w:marRight w:val="0"/>
          <w:marTop w:val="0"/>
          <w:marBottom w:val="0"/>
          <w:divBdr>
            <w:top w:val="none" w:sz="0" w:space="0" w:color="auto"/>
            <w:left w:val="none" w:sz="0" w:space="0" w:color="auto"/>
            <w:bottom w:val="none" w:sz="0" w:space="0" w:color="auto"/>
            <w:right w:val="none" w:sz="0" w:space="0" w:color="auto"/>
          </w:divBdr>
          <w:divsChild>
            <w:div w:id="275721060">
              <w:marLeft w:val="0"/>
              <w:marRight w:val="0"/>
              <w:marTop w:val="0"/>
              <w:marBottom w:val="0"/>
              <w:divBdr>
                <w:top w:val="none" w:sz="0" w:space="0" w:color="auto"/>
                <w:left w:val="none" w:sz="0" w:space="0" w:color="auto"/>
                <w:bottom w:val="none" w:sz="0" w:space="0" w:color="auto"/>
                <w:right w:val="none" w:sz="0" w:space="0" w:color="auto"/>
              </w:divBdr>
              <w:divsChild>
                <w:div w:id="1170414901">
                  <w:marLeft w:val="0"/>
                  <w:marRight w:val="0"/>
                  <w:marTop w:val="0"/>
                  <w:marBottom w:val="0"/>
                  <w:divBdr>
                    <w:top w:val="none" w:sz="0" w:space="0" w:color="auto"/>
                    <w:left w:val="none" w:sz="0" w:space="0" w:color="auto"/>
                    <w:bottom w:val="none" w:sz="0" w:space="0" w:color="auto"/>
                    <w:right w:val="none" w:sz="0" w:space="0" w:color="auto"/>
                  </w:divBdr>
                  <w:divsChild>
                    <w:div w:id="1940215289">
                      <w:marLeft w:val="0"/>
                      <w:marRight w:val="0"/>
                      <w:marTop w:val="0"/>
                      <w:marBottom w:val="0"/>
                      <w:divBdr>
                        <w:top w:val="none" w:sz="0" w:space="0" w:color="auto"/>
                        <w:left w:val="none" w:sz="0" w:space="0" w:color="auto"/>
                        <w:bottom w:val="none" w:sz="0" w:space="0" w:color="auto"/>
                        <w:right w:val="none" w:sz="0" w:space="0" w:color="auto"/>
                      </w:divBdr>
                      <w:divsChild>
                        <w:div w:id="632368811">
                          <w:marLeft w:val="0"/>
                          <w:marRight w:val="0"/>
                          <w:marTop w:val="0"/>
                          <w:marBottom w:val="0"/>
                          <w:divBdr>
                            <w:top w:val="none" w:sz="0" w:space="0" w:color="auto"/>
                            <w:left w:val="none" w:sz="0" w:space="0" w:color="auto"/>
                            <w:bottom w:val="none" w:sz="0" w:space="0" w:color="auto"/>
                            <w:right w:val="none" w:sz="0" w:space="0" w:color="auto"/>
                          </w:divBdr>
                          <w:divsChild>
                            <w:div w:id="1161198585">
                              <w:marLeft w:val="0"/>
                              <w:marRight w:val="0"/>
                              <w:marTop w:val="0"/>
                              <w:marBottom w:val="0"/>
                              <w:divBdr>
                                <w:top w:val="none" w:sz="0" w:space="0" w:color="auto"/>
                                <w:left w:val="none" w:sz="0" w:space="0" w:color="auto"/>
                                <w:bottom w:val="none" w:sz="0" w:space="0" w:color="auto"/>
                                <w:right w:val="none" w:sz="0" w:space="0" w:color="auto"/>
                              </w:divBdr>
                              <w:divsChild>
                                <w:div w:id="1863980295">
                                  <w:marLeft w:val="0"/>
                                  <w:marRight w:val="0"/>
                                  <w:marTop w:val="0"/>
                                  <w:marBottom w:val="0"/>
                                  <w:divBdr>
                                    <w:top w:val="none" w:sz="0" w:space="0" w:color="auto"/>
                                    <w:left w:val="none" w:sz="0" w:space="0" w:color="auto"/>
                                    <w:bottom w:val="none" w:sz="0" w:space="0" w:color="auto"/>
                                    <w:right w:val="none" w:sz="0" w:space="0" w:color="auto"/>
                                  </w:divBdr>
                                  <w:divsChild>
                                    <w:div w:id="843127165">
                                      <w:marLeft w:val="0"/>
                                      <w:marRight w:val="0"/>
                                      <w:marTop w:val="0"/>
                                      <w:marBottom w:val="0"/>
                                      <w:divBdr>
                                        <w:top w:val="none" w:sz="0" w:space="0" w:color="auto"/>
                                        <w:left w:val="none" w:sz="0" w:space="0" w:color="auto"/>
                                        <w:bottom w:val="none" w:sz="0" w:space="0" w:color="auto"/>
                                        <w:right w:val="none" w:sz="0" w:space="0" w:color="auto"/>
                                      </w:divBdr>
                                      <w:divsChild>
                                        <w:div w:id="8846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945405">
      <w:bodyDiv w:val="1"/>
      <w:marLeft w:val="0"/>
      <w:marRight w:val="0"/>
      <w:marTop w:val="0"/>
      <w:marBottom w:val="0"/>
      <w:divBdr>
        <w:top w:val="none" w:sz="0" w:space="0" w:color="auto"/>
        <w:left w:val="none" w:sz="0" w:space="0" w:color="auto"/>
        <w:bottom w:val="none" w:sz="0" w:space="0" w:color="auto"/>
        <w:right w:val="none" w:sz="0" w:space="0" w:color="auto"/>
      </w:divBdr>
      <w:divsChild>
        <w:div w:id="448477034">
          <w:marLeft w:val="0"/>
          <w:marRight w:val="0"/>
          <w:marTop w:val="0"/>
          <w:marBottom w:val="0"/>
          <w:divBdr>
            <w:top w:val="none" w:sz="0" w:space="0" w:color="auto"/>
            <w:left w:val="none" w:sz="0" w:space="0" w:color="auto"/>
            <w:bottom w:val="none" w:sz="0" w:space="0" w:color="auto"/>
            <w:right w:val="none" w:sz="0" w:space="0" w:color="auto"/>
          </w:divBdr>
          <w:divsChild>
            <w:div w:id="95441860">
              <w:marLeft w:val="0"/>
              <w:marRight w:val="0"/>
              <w:marTop w:val="0"/>
              <w:marBottom w:val="0"/>
              <w:divBdr>
                <w:top w:val="none" w:sz="0" w:space="0" w:color="auto"/>
                <w:left w:val="none" w:sz="0" w:space="0" w:color="auto"/>
                <w:bottom w:val="none" w:sz="0" w:space="0" w:color="auto"/>
                <w:right w:val="none" w:sz="0" w:space="0" w:color="auto"/>
              </w:divBdr>
              <w:divsChild>
                <w:div w:id="225799065">
                  <w:marLeft w:val="0"/>
                  <w:marRight w:val="0"/>
                  <w:marTop w:val="0"/>
                  <w:marBottom w:val="0"/>
                  <w:divBdr>
                    <w:top w:val="none" w:sz="0" w:space="0" w:color="auto"/>
                    <w:left w:val="none" w:sz="0" w:space="0" w:color="auto"/>
                    <w:bottom w:val="none" w:sz="0" w:space="0" w:color="auto"/>
                    <w:right w:val="none" w:sz="0" w:space="0" w:color="auto"/>
                  </w:divBdr>
                  <w:divsChild>
                    <w:div w:id="588542110">
                      <w:marLeft w:val="0"/>
                      <w:marRight w:val="0"/>
                      <w:marTop w:val="0"/>
                      <w:marBottom w:val="0"/>
                      <w:divBdr>
                        <w:top w:val="none" w:sz="0" w:space="0" w:color="auto"/>
                        <w:left w:val="none" w:sz="0" w:space="0" w:color="auto"/>
                        <w:bottom w:val="none" w:sz="0" w:space="0" w:color="auto"/>
                        <w:right w:val="none" w:sz="0" w:space="0" w:color="auto"/>
                      </w:divBdr>
                      <w:divsChild>
                        <w:div w:id="1188060331">
                          <w:marLeft w:val="0"/>
                          <w:marRight w:val="0"/>
                          <w:marTop w:val="0"/>
                          <w:marBottom w:val="0"/>
                          <w:divBdr>
                            <w:top w:val="none" w:sz="0" w:space="0" w:color="auto"/>
                            <w:left w:val="none" w:sz="0" w:space="0" w:color="auto"/>
                            <w:bottom w:val="none" w:sz="0" w:space="0" w:color="auto"/>
                            <w:right w:val="none" w:sz="0" w:space="0" w:color="auto"/>
                          </w:divBdr>
                          <w:divsChild>
                            <w:div w:id="734087245">
                              <w:marLeft w:val="0"/>
                              <w:marRight w:val="0"/>
                              <w:marTop w:val="0"/>
                              <w:marBottom w:val="0"/>
                              <w:divBdr>
                                <w:top w:val="none" w:sz="0" w:space="0" w:color="auto"/>
                                <w:left w:val="none" w:sz="0" w:space="0" w:color="auto"/>
                                <w:bottom w:val="none" w:sz="0" w:space="0" w:color="auto"/>
                                <w:right w:val="none" w:sz="0" w:space="0" w:color="auto"/>
                              </w:divBdr>
                              <w:divsChild>
                                <w:div w:id="1997489411">
                                  <w:marLeft w:val="0"/>
                                  <w:marRight w:val="0"/>
                                  <w:marTop w:val="0"/>
                                  <w:marBottom w:val="0"/>
                                  <w:divBdr>
                                    <w:top w:val="none" w:sz="0" w:space="0" w:color="auto"/>
                                    <w:left w:val="none" w:sz="0" w:space="0" w:color="auto"/>
                                    <w:bottom w:val="none" w:sz="0" w:space="0" w:color="auto"/>
                                    <w:right w:val="none" w:sz="0" w:space="0" w:color="auto"/>
                                  </w:divBdr>
                                  <w:divsChild>
                                    <w:div w:id="18167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306806">
      <w:bodyDiv w:val="1"/>
      <w:marLeft w:val="0"/>
      <w:marRight w:val="0"/>
      <w:marTop w:val="0"/>
      <w:marBottom w:val="0"/>
      <w:divBdr>
        <w:top w:val="none" w:sz="0" w:space="0" w:color="auto"/>
        <w:left w:val="none" w:sz="0" w:space="0" w:color="auto"/>
        <w:bottom w:val="none" w:sz="0" w:space="0" w:color="auto"/>
        <w:right w:val="none" w:sz="0" w:space="0" w:color="auto"/>
      </w:divBdr>
      <w:divsChild>
        <w:div w:id="1250430096">
          <w:marLeft w:val="0"/>
          <w:marRight w:val="0"/>
          <w:marTop w:val="0"/>
          <w:marBottom w:val="0"/>
          <w:divBdr>
            <w:top w:val="none" w:sz="0" w:space="0" w:color="auto"/>
            <w:left w:val="none" w:sz="0" w:space="0" w:color="auto"/>
            <w:bottom w:val="none" w:sz="0" w:space="0" w:color="auto"/>
            <w:right w:val="none" w:sz="0" w:space="0" w:color="auto"/>
          </w:divBdr>
          <w:divsChild>
            <w:div w:id="1290042826">
              <w:marLeft w:val="0"/>
              <w:marRight w:val="0"/>
              <w:marTop w:val="0"/>
              <w:marBottom w:val="0"/>
              <w:divBdr>
                <w:top w:val="none" w:sz="0" w:space="0" w:color="auto"/>
                <w:left w:val="none" w:sz="0" w:space="0" w:color="auto"/>
                <w:bottom w:val="none" w:sz="0" w:space="0" w:color="auto"/>
                <w:right w:val="none" w:sz="0" w:space="0" w:color="auto"/>
              </w:divBdr>
              <w:divsChild>
                <w:div w:id="514467024">
                  <w:marLeft w:val="0"/>
                  <w:marRight w:val="0"/>
                  <w:marTop w:val="0"/>
                  <w:marBottom w:val="0"/>
                  <w:divBdr>
                    <w:top w:val="none" w:sz="0" w:space="0" w:color="auto"/>
                    <w:left w:val="none" w:sz="0" w:space="0" w:color="auto"/>
                    <w:bottom w:val="none" w:sz="0" w:space="0" w:color="auto"/>
                    <w:right w:val="none" w:sz="0" w:space="0" w:color="auto"/>
                  </w:divBdr>
                  <w:divsChild>
                    <w:div w:id="449667827">
                      <w:marLeft w:val="0"/>
                      <w:marRight w:val="0"/>
                      <w:marTop w:val="0"/>
                      <w:marBottom w:val="0"/>
                      <w:divBdr>
                        <w:top w:val="none" w:sz="0" w:space="0" w:color="auto"/>
                        <w:left w:val="none" w:sz="0" w:space="0" w:color="auto"/>
                        <w:bottom w:val="none" w:sz="0" w:space="0" w:color="auto"/>
                        <w:right w:val="none" w:sz="0" w:space="0" w:color="auto"/>
                      </w:divBdr>
                      <w:divsChild>
                        <w:div w:id="1483350860">
                          <w:marLeft w:val="0"/>
                          <w:marRight w:val="0"/>
                          <w:marTop w:val="0"/>
                          <w:marBottom w:val="0"/>
                          <w:divBdr>
                            <w:top w:val="none" w:sz="0" w:space="0" w:color="auto"/>
                            <w:left w:val="none" w:sz="0" w:space="0" w:color="auto"/>
                            <w:bottom w:val="none" w:sz="0" w:space="0" w:color="auto"/>
                            <w:right w:val="none" w:sz="0" w:space="0" w:color="auto"/>
                          </w:divBdr>
                          <w:divsChild>
                            <w:div w:id="1640455560">
                              <w:marLeft w:val="0"/>
                              <w:marRight w:val="0"/>
                              <w:marTop w:val="0"/>
                              <w:marBottom w:val="0"/>
                              <w:divBdr>
                                <w:top w:val="none" w:sz="0" w:space="0" w:color="auto"/>
                                <w:left w:val="none" w:sz="0" w:space="0" w:color="auto"/>
                                <w:bottom w:val="none" w:sz="0" w:space="0" w:color="auto"/>
                                <w:right w:val="none" w:sz="0" w:space="0" w:color="auto"/>
                              </w:divBdr>
                              <w:divsChild>
                                <w:div w:id="401762060">
                                  <w:marLeft w:val="0"/>
                                  <w:marRight w:val="0"/>
                                  <w:marTop w:val="0"/>
                                  <w:marBottom w:val="0"/>
                                  <w:divBdr>
                                    <w:top w:val="none" w:sz="0" w:space="0" w:color="auto"/>
                                    <w:left w:val="none" w:sz="0" w:space="0" w:color="auto"/>
                                    <w:bottom w:val="none" w:sz="0" w:space="0" w:color="auto"/>
                                    <w:right w:val="none" w:sz="0" w:space="0" w:color="auto"/>
                                  </w:divBdr>
                                  <w:divsChild>
                                    <w:div w:id="18457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cqi.org/.../Factsheets/Total-quality-manage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2C08-CE37-4495-A657-D855748C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1632</TotalTime>
  <Pages>10</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47</cp:revision>
  <dcterms:created xsi:type="dcterms:W3CDTF">2011-10-16T05:38:00Z</dcterms:created>
  <dcterms:modified xsi:type="dcterms:W3CDTF">2011-10-18T04:13:00Z</dcterms:modified>
</cp:coreProperties>
</file>