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F4327A">
      <w:pPr>
        <w:pStyle w:val="NoSpacing"/>
        <w:spacing w:line="480" w:lineRule="auto"/>
      </w:pPr>
    </w:p>
    <w:p w:rsidR="00F4327A" w:rsidRDefault="00F4327A" w:rsidP="00F4327A">
      <w:pPr>
        <w:pStyle w:val="NoSpacing"/>
        <w:spacing w:line="480" w:lineRule="auto"/>
      </w:pPr>
    </w:p>
    <w:p w:rsidR="00F4327A" w:rsidRPr="000C1517" w:rsidRDefault="000C1517" w:rsidP="00F4327A">
      <w:pPr>
        <w:pStyle w:val="NoSpacing"/>
        <w:spacing w:line="480" w:lineRule="auto"/>
        <w:rPr>
          <w:color w:val="FF0000"/>
        </w:rPr>
      </w:pPr>
      <w:r w:rsidRPr="000C1517">
        <w:rPr>
          <w:color w:val="FF0000"/>
        </w:rPr>
        <w:t>14/15</w:t>
      </w:r>
    </w:p>
    <w:p w:rsidR="00F4327A" w:rsidRPr="000C1517" w:rsidRDefault="000C1517" w:rsidP="00F4327A">
      <w:pPr>
        <w:pStyle w:val="NoSpacing"/>
        <w:spacing w:line="480" w:lineRule="auto"/>
        <w:rPr>
          <w:color w:val="FF0000"/>
        </w:rPr>
      </w:pPr>
      <w:r w:rsidRPr="000C1517">
        <w:rPr>
          <w:color w:val="FF0000"/>
        </w:rPr>
        <w:t>See comments and number responses</w:t>
      </w:r>
    </w:p>
    <w:p w:rsidR="00F4327A" w:rsidRDefault="00F4327A" w:rsidP="00F4327A">
      <w:pPr>
        <w:pStyle w:val="NoSpacing"/>
        <w:spacing w:line="480" w:lineRule="auto"/>
      </w:pPr>
    </w:p>
    <w:p w:rsidR="00F4327A" w:rsidRDefault="00F4327A" w:rsidP="00F4327A">
      <w:pPr>
        <w:pStyle w:val="NoSpacing"/>
        <w:spacing w:line="480" w:lineRule="auto"/>
        <w:jc w:val="center"/>
      </w:pPr>
      <w:r>
        <w:t>Case Study 5.2</w:t>
      </w:r>
    </w:p>
    <w:p w:rsidR="00F4327A" w:rsidRDefault="00F4327A" w:rsidP="00F4327A">
      <w:pPr>
        <w:pStyle w:val="NoSpacing"/>
        <w:spacing w:line="480" w:lineRule="auto"/>
        <w:jc w:val="center"/>
      </w:pPr>
      <w:r>
        <w:t>Gentry Scott</w:t>
      </w:r>
    </w:p>
    <w:p w:rsidR="00F4327A" w:rsidRDefault="00F4327A" w:rsidP="00F4327A">
      <w:pPr>
        <w:pStyle w:val="NoSpacing"/>
        <w:spacing w:line="480" w:lineRule="auto"/>
        <w:jc w:val="center"/>
      </w:pPr>
      <w:r>
        <w:t>Lakeview College of Nursing</w:t>
      </w:r>
    </w:p>
    <w:p w:rsidR="00F4327A" w:rsidRDefault="00F4327A" w:rsidP="00F4327A">
      <w:pPr>
        <w:pStyle w:val="NoSpacing"/>
        <w:spacing w:line="480" w:lineRule="auto"/>
        <w:jc w:val="center"/>
      </w:pPr>
      <w:r>
        <w:t>N309- Nursing of the Gerontological Client</w:t>
      </w:r>
    </w:p>
    <w:p w:rsidR="00F4327A" w:rsidRDefault="00F4327A" w:rsidP="00F4327A">
      <w:pPr>
        <w:pStyle w:val="NoSpacing"/>
        <w:spacing w:line="480" w:lineRule="auto"/>
        <w:jc w:val="center"/>
      </w:pPr>
      <w:r>
        <w:t>February 13, 2012</w:t>
      </w:r>
    </w:p>
    <w:p w:rsidR="00F4327A" w:rsidRDefault="00F4327A">
      <w:r>
        <w:br w:type="page"/>
      </w:r>
    </w:p>
    <w:p w:rsidR="00F4327A" w:rsidRDefault="00F4327A" w:rsidP="00F4327A">
      <w:pPr>
        <w:pStyle w:val="NoSpacing"/>
        <w:spacing w:line="480" w:lineRule="auto"/>
        <w:jc w:val="center"/>
      </w:pPr>
      <w:r>
        <w:lastRenderedPageBreak/>
        <w:t>Case Study 5.2</w:t>
      </w:r>
    </w:p>
    <w:p w:rsidR="00F4327A" w:rsidRDefault="00F4327A" w:rsidP="00F4327A">
      <w:pPr>
        <w:pStyle w:val="NoSpacing"/>
        <w:spacing w:line="480" w:lineRule="auto"/>
        <w:ind w:firstLine="720"/>
      </w:pPr>
      <w:r>
        <w:t xml:space="preserve">The purpose of this paper is to answer the questions discussed in case study 5.2 in a </w:t>
      </w:r>
      <w:commentRangeStart w:id="0"/>
      <w:r>
        <w:t>thorough</w:t>
      </w:r>
      <w:commentRangeEnd w:id="0"/>
      <w:r w:rsidR="000C1517">
        <w:rPr>
          <w:rStyle w:val="CommentReference"/>
        </w:rPr>
        <w:commentReference w:id="0"/>
      </w:r>
      <w:r>
        <w:t xml:space="preserve"> manner.</w:t>
      </w:r>
    </w:p>
    <w:p w:rsidR="00F4327A" w:rsidRDefault="00F4327A" w:rsidP="00F4327A">
      <w:pPr>
        <w:pStyle w:val="NoSpacing"/>
        <w:spacing w:line="480" w:lineRule="auto"/>
        <w:jc w:val="center"/>
        <w:rPr>
          <w:b/>
        </w:rPr>
      </w:pPr>
      <w:r>
        <w:rPr>
          <w:b/>
        </w:rPr>
        <w:t>Case Study 5.2</w:t>
      </w:r>
    </w:p>
    <w:p w:rsidR="000C1517" w:rsidRDefault="00F4327A" w:rsidP="004236F8">
      <w:pPr>
        <w:pStyle w:val="NoSpacing"/>
        <w:spacing w:line="480" w:lineRule="auto"/>
      </w:pPr>
      <w:r>
        <w:tab/>
      </w:r>
      <w:r w:rsidR="00D275AB">
        <w:t xml:space="preserve">According to </w:t>
      </w:r>
      <w:proofErr w:type="spellStart"/>
      <w:r w:rsidR="00D275AB">
        <w:t>Benefield</w:t>
      </w:r>
      <w:proofErr w:type="spellEnd"/>
      <w:r w:rsidR="00D275AB">
        <w:t xml:space="preserve"> </w:t>
      </w:r>
      <w:commentRangeStart w:id="1"/>
      <w:r w:rsidR="000C1517">
        <w:rPr>
          <w:color w:val="FF0000"/>
        </w:rPr>
        <w:t>and</w:t>
      </w:r>
      <w:commentRangeEnd w:id="1"/>
      <w:r w:rsidR="000C1517">
        <w:rPr>
          <w:rStyle w:val="CommentReference"/>
        </w:rPr>
        <w:commentReference w:id="1"/>
      </w:r>
      <w:r w:rsidR="00D275AB">
        <w:t xml:space="preserve"> </w:t>
      </w:r>
      <w:proofErr w:type="spellStart"/>
      <w:r w:rsidR="00D275AB">
        <w:t>Higbee</w:t>
      </w:r>
      <w:proofErr w:type="spellEnd"/>
      <w:r w:rsidR="00D275AB">
        <w:t xml:space="preserve"> (2007), frailty is confused with disability and comorbidity more often than not. Frailty is a change in a person’s physiological state and the inability to preserve homeostasis. Disability is when a person is unable to take care of themselves. While comorbidity is when there are 2 or more different diseases </w:t>
      </w:r>
      <w:r w:rsidR="000C1517">
        <w:rPr>
          <w:color w:val="FF0000"/>
        </w:rPr>
        <w:t>a</w:t>
      </w:r>
      <w:r w:rsidR="00D275AB">
        <w:t xml:space="preserve">ffecting the same </w:t>
      </w:r>
      <w:proofErr w:type="gramStart"/>
      <w:r w:rsidR="00D275AB">
        <w:t>person.</w:t>
      </w:r>
      <w:proofErr w:type="gramEnd"/>
      <w:r w:rsidR="00D275AB">
        <w:t xml:space="preserve"> Frailty is a syndrome because </w:t>
      </w:r>
      <w:r w:rsidR="007B2FF6">
        <w:t xml:space="preserve">it </w:t>
      </w:r>
      <w:r w:rsidR="00D275AB">
        <w:t>red</w:t>
      </w:r>
      <w:r w:rsidR="007B2FF6">
        <w:t>uces functional reserve, impairs</w:t>
      </w:r>
      <w:r w:rsidR="00D275AB">
        <w:t xml:space="preserve"> multiple ph</w:t>
      </w:r>
      <w:r w:rsidR="007B2FF6">
        <w:t>ysiological systems, and reduces a person’s</w:t>
      </w:r>
      <w:r w:rsidR="00D275AB">
        <w:t xml:space="preserve"> ability to regain physiological homeostasis</w:t>
      </w:r>
      <w:r w:rsidR="007B2FF6">
        <w:t>.</w:t>
      </w:r>
      <w:r w:rsidR="005F4534">
        <w:t xml:space="preserve"> Mrs. Gibson’s actual score based off the frailty assessment tool is a 5.</w:t>
      </w:r>
    </w:p>
    <w:p w:rsidR="000C1517" w:rsidRPr="000C1517" w:rsidRDefault="000C1517" w:rsidP="000C1517">
      <w:pPr>
        <w:autoSpaceDE w:val="0"/>
        <w:autoSpaceDN w:val="0"/>
        <w:adjustRightInd w:val="0"/>
        <w:spacing w:after="0" w:line="240" w:lineRule="auto"/>
        <w:rPr>
          <w:rFonts w:ascii="ITCGaramondStd-Bk" w:hAnsi="ITCGaramondStd-Bk" w:cs="ITCGaramondStd-Bk"/>
          <w:color w:val="FF0000"/>
          <w:sz w:val="20"/>
          <w:szCs w:val="20"/>
        </w:rPr>
      </w:pPr>
      <w:r w:rsidRPr="000C1517">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0C1517" w:rsidRDefault="000C1517" w:rsidP="000C1517">
      <w:pPr>
        <w:autoSpaceDE w:val="0"/>
        <w:autoSpaceDN w:val="0"/>
        <w:adjustRightInd w:val="0"/>
        <w:spacing w:after="0" w:line="240" w:lineRule="auto"/>
      </w:pPr>
    </w:p>
    <w:p w:rsidR="00F4327A" w:rsidRPr="004236F8" w:rsidRDefault="005F4534" w:rsidP="004236F8">
      <w:pPr>
        <w:pStyle w:val="NoSpacing"/>
        <w:spacing w:line="480" w:lineRule="auto"/>
        <w:rPr>
          <w:rFonts w:cs="Times New Roman"/>
        </w:rPr>
      </w:pPr>
      <w:r>
        <w:t xml:space="preserve"> This officially qualifies her as frail. Prim</w:t>
      </w:r>
      <w:r w:rsidRPr="004236F8">
        <w:rPr>
          <w:rFonts w:cs="Times New Roman"/>
        </w:rPr>
        <w:t xml:space="preserve">ary frailty has no underlying cause while secondary frailty does. </w:t>
      </w:r>
    </w:p>
    <w:p w:rsidR="005F4534" w:rsidRDefault="005F4534" w:rsidP="004236F8">
      <w:pPr>
        <w:pStyle w:val="NoSpacing"/>
        <w:spacing w:line="480" w:lineRule="auto"/>
        <w:rPr>
          <w:rFonts w:cs="Times New Roman"/>
        </w:rPr>
      </w:pPr>
      <w:r w:rsidRPr="004236F8">
        <w:rPr>
          <w:rFonts w:cs="Times New Roman"/>
        </w:rPr>
        <w:tab/>
        <w:t>According to Espinoza</w:t>
      </w:r>
      <w:r w:rsidR="004F6271" w:rsidRPr="004236F8">
        <w:rPr>
          <w:rFonts w:cs="Times New Roman"/>
        </w:rPr>
        <w:t xml:space="preserve"> </w:t>
      </w:r>
      <w:r w:rsidR="000C1517">
        <w:rPr>
          <w:rFonts w:cs="Times New Roman"/>
          <w:color w:val="FF0000"/>
        </w:rPr>
        <w:t>and</w:t>
      </w:r>
      <w:r w:rsidR="004F6271" w:rsidRPr="004236F8">
        <w:rPr>
          <w:rFonts w:cs="Times New Roman"/>
        </w:rPr>
        <w:t xml:space="preserve"> Fried (2007), </w:t>
      </w:r>
      <w:r w:rsidR="004236F8" w:rsidRPr="004236F8">
        <w:rPr>
          <w:rFonts w:cs="Times New Roman"/>
        </w:rPr>
        <w:t>the criteria included for the physiological risk factors of frailty are activated</w:t>
      </w:r>
      <w:r w:rsidR="004236F8">
        <w:rPr>
          <w:rFonts w:cs="Times New Roman"/>
        </w:rPr>
        <w:t xml:space="preserve"> </w:t>
      </w:r>
      <w:r w:rsidR="004236F8" w:rsidRPr="004236F8">
        <w:rPr>
          <w:rFonts w:cs="Times New Roman"/>
        </w:rPr>
        <w:t>inflammation, decreased immune function,</w:t>
      </w:r>
      <w:r w:rsidR="004236F8">
        <w:rPr>
          <w:rFonts w:cs="Times New Roman"/>
        </w:rPr>
        <w:t xml:space="preserve"> anemia, endocrine </w:t>
      </w:r>
      <w:r w:rsidR="004236F8" w:rsidRPr="004236F8">
        <w:rPr>
          <w:rFonts w:cs="Times New Roman"/>
        </w:rPr>
        <w:t>system alterations, and musculoskeletal</w:t>
      </w:r>
      <w:r w:rsidR="004236F8">
        <w:rPr>
          <w:rFonts w:cs="Times New Roman"/>
        </w:rPr>
        <w:t xml:space="preserve"> </w:t>
      </w:r>
      <w:r w:rsidR="004236F8" w:rsidRPr="004236F8">
        <w:rPr>
          <w:rFonts w:cs="Times New Roman"/>
        </w:rPr>
        <w:t>alterations</w:t>
      </w:r>
      <w:r w:rsidR="004236F8">
        <w:rPr>
          <w:rFonts w:cs="Times New Roman"/>
        </w:rPr>
        <w:t>.</w:t>
      </w:r>
      <w:r w:rsidR="007D281D">
        <w:rPr>
          <w:rFonts w:cs="Times New Roman"/>
        </w:rPr>
        <w:t xml:space="preserve"> Sociodemographics and psychological factors discuss how muscle mass and education also play roles in frailty. Low levels of either put a person at greater risk for frailty. A risk factor for frailty that is not modifiable would be those who are disabled. </w:t>
      </w:r>
    </w:p>
    <w:p w:rsidR="000C1517" w:rsidRDefault="007D281D" w:rsidP="004236F8">
      <w:pPr>
        <w:pStyle w:val="NoSpacing"/>
        <w:spacing w:line="480" w:lineRule="auto"/>
        <w:rPr>
          <w:rFonts w:cs="Times New Roman"/>
        </w:rPr>
      </w:pPr>
      <w:r>
        <w:rPr>
          <w:rFonts w:cs="Times New Roman"/>
        </w:rPr>
        <w:tab/>
        <w:t xml:space="preserve">According to </w:t>
      </w:r>
      <w:proofErr w:type="spellStart"/>
      <w:r w:rsidR="009B6A18">
        <w:rPr>
          <w:rFonts w:cs="Times New Roman"/>
        </w:rPr>
        <w:t>Cheniak</w:t>
      </w:r>
      <w:proofErr w:type="spellEnd"/>
      <w:r w:rsidR="009B6A18">
        <w:rPr>
          <w:rFonts w:cs="Times New Roman"/>
        </w:rPr>
        <w:t xml:space="preserve">, </w:t>
      </w:r>
      <w:proofErr w:type="spellStart"/>
      <w:r w:rsidR="009B6A18">
        <w:rPr>
          <w:rFonts w:cs="Times New Roman"/>
        </w:rPr>
        <w:t>Florez</w:t>
      </w:r>
      <w:proofErr w:type="spellEnd"/>
      <w:r w:rsidR="009B6A18">
        <w:rPr>
          <w:rFonts w:cs="Times New Roman"/>
        </w:rPr>
        <w:t xml:space="preserve">, </w:t>
      </w:r>
      <w:r w:rsidR="000C1517">
        <w:rPr>
          <w:rFonts w:cs="Times New Roman"/>
          <w:color w:val="FF0000"/>
        </w:rPr>
        <w:t>and</w:t>
      </w:r>
      <w:r w:rsidR="009B6A18">
        <w:rPr>
          <w:rFonts w:cs="Times New Roman"/>
        </w:rPr>
        <w:t xml:space="preserve"> </w:t>
      </w:r>
      <w:proofErr w:type="spellStart"/>
      <w:r w:rsidR="009B6A18">
        <w:rPr>
          <w:rFonts w:cs="Times New Roman"/>
        </w:rPr>
        <w:t>Troen</w:t>
      </w:r>
      <w:proofErr w:type="spellEnd"/>
      <w:r w:rsidR="009B6A18">
        <w:rPr>
          <w:rFonts w:cs="Times New Roman"/>
        </w:rPr>
        <w:t xml:space="preserve"> (2007), some nutritional supplements that can be used as an alternative medicinal intervention for frailty would be </w:t>
      </w:r>
      <w:proofErr w:type="spellStart"/>
      <w:r w:rsidR="009B6A18">
        <w:rPr>
          <w:rFonts w:cs="Times New Roman"/>
        </w:rPr>
        <w:t>Carotenoids</w:t>
      </w:r>
      <w:proofErr w:type="spellEnd"/>
      <w:r w:rsidR="009B6A18">
        <w:rPr>
          <w:rFonts w:cs="Times New Roman"/>
        </w:rPr>
        <w:t xml:space="preserve">, Vitamin D, and </w:t>
      </w:r>
      <w:proofErr w:type="spellStart"/>
      <w:r w:rsidR="009B6A18">
        <w:rPr>
          <w:rFonts w:cs="Times New Roman"/>
        </w:rPr>
        <w:t>Dehydroepiandrosterone</w:t>
      </w:r>
      <w:proofErr w:type="spellEnd"/>
      <w:r w:rsidR="009B6A18">
        <w:rPr>
          <w:rFonts w:cs="Times New Roman"/>
        </w:rPr>
        <w:t xml:space="preserve"> (DHEA). </w:t>
      </w:r>
    </w:p>
    <w:p w:rsidR="000C1517" w:rsidRPr="000C1517" w:rsidRDefault="000C1517" w:rsidP="004236F8">
      <w:pPr>
        <w:pStyle w:val="NoSpacing"/>
        <w:spacing w:line="480" w:lineRule="auto"/>
        <w:rPr>
          <w:rFonts w:cs="Times New Roman"/>
          <w:color w:val="FF0000"/>
        </w:rPr>
      </w:pPr>
      <w:proofErr w:type="gramStart"/>
      <w:r w:rsidRPr="000C1517">
        <w:rPr>
          <w:rFonts w:ascii="ITCGaramondStd-Bk" w:hAnsi="ITCGaramondStd-Bk" w:cs="ITCGaramondStd-Bk"/>
          <w:color w:val="FF0000"/>
          <w:sz w:val="20"/>
          <w:szCs w:val="20"/>
        </w:rPr>
        <w:lastRenderedPageBreak/>
        <w:t>A, B, D, and E.</w:t>
      </w:r>
      <w:proofErr w:type="gramEnd"/>
    </w:p>
    <w:p w:rsidR="000C1517" w:rsidRDefault="000C1517" w:rsidP="004236F8">
      <w:pPr>
        <w:pStyle w:val="NoSpacing"/>
        <w:spacing w:line="480" w:lineRule="auto"/>
        <w:rPr>
          <w:rFonts w:cs="Times New Roman"/>
        </w:rPr>
      </w:pPr>
    </w:p>
    <w:p w:rsidR="007D281D" w:rsidRDefault="002F54BE" w:rsidP="004236F8">
      <w:pPr>
        <w:pStyle w:val="NoSpacing"/>
        <w:spacing w:line="480" w:lineRule="auto"/>
        <w:rPr>
          <w:rFonts w:cs="Times New Roman"/>
        </w:rPr>
      </w:pPr>
      <w:r>
        <w:rPr>
          <w:rFonts w:cs="Times New Roman"/>
        </w:rPr>
        <w:t xml:space="preserve">Another intervention could be Tai Chi. It is believed that Tai Chi may directly or indirectly affect 3 components of frailty. These 3 are weakness, slow walking speed, and low physical activity. Keeping the body active through Tai Chi helps keeps these things at bay by improving strength and balance. </w:t>
      </w:r>
    </w:p>
    <w:p w:rsidR="00E91AA6" w:rsidRDefault="002F54BE" w:rsidP="004236F8">
      <w:pPr>
        <w:pStyle w:val="NoSpacing"/>
        <w:spacing w:line="480" w:lineRule="auto"/>
      </w:pPr>
      <w:r>
        <w:rPr>
          <w:rFonts w:cs="Times New Roman"/>
        </w:rPr>
        <w:tab/>
        <w:t xml:space="preserve">According to </w:t>
      </w:r>
      <w:proofErr w:type="spellStart"/>
      <w:r>
        <w:t>Benefield</w:t>
      </w:r>
      <w:proofErr w:type="spellEnd"/>
      <w:r>
        <w:t xml:space="preserve"> </w:t>
      </w:r>
      <w:r w:rsidR="000C1517">
        <w:rPr>
          <w:color w:val="FF0000"/>
        </w:rPr>
        <w:t>and</w:t>
      </w:r>
      <w:r>
        <w:t xml:space="preserve"> </w:t>
      </w:r>
      <w:proofErr w:type="spellStart"/>
      <w:r>
        <w:t>Higbee</w:t>
      </w:r>
      <w:proofErr w:type="spellEnd"/>
      <w:r>
        <w:t xml:space="preserve"> (2007), ways that facilities have adapted to provide universal design for the elderly is that they include “grab bars, walk in showers with shower seats, counter and cabinet height adjustments, wide doorways, contrasting colors of counters, floors, walls, and dishes, non-slip surfaces, ramps, proper lighting, and emergency call </w:t>
      </w:r>
      <w:commentRangeStart w:id="2"/>
      <w:r>
        <w:t>systems</w:t>
      </w:r>
      <w:commentRangeEnd w:id="2"/>
      <w:r w:rsidR="000C1517">
        <w:rPr>
          <w:rStyle w:val="CommentReference"/>
        </w:rPr>
        <w:commentReference w:id="2"/>
      </w:r>
      <w:r>
        <w:t>.”</w:t>
      </w:r>
    </w:p>
    <w:p w:rsidR="00E91AA6" w:rsidRDefault="00E91AA6">
      <w:r>
        <w:br w:type="page"/>
      </w:r>
    </w:p>
    <w:p w:rsidR="002F54BE" w:rsidRDefault="00E91AA6" w:rsidP="00E91AA6">
      <w:pPr>
        <w:pStyle w:val="NoSpacing"/>
        <w:spacing w:line="480" w:lineRule="auto"/>
        <w:jc w:val="center"/>
        <w:rPr>
          <w:rFonts w:cs="Times New Roman"/>
        </w:rPr>
      </w:pPr>
      <w:r>
        <w:rPr>
          <w:rFonts w:cs="Times New Roman"/>
        </w:rPr>
        <w:lastRenderedPageBreak/>
        <w:t>References</w:t>
      </w:r>
    </w:p>
    <w:p w:rsidR="00E91AA6" w:rsidRDefault="00E91AA6" w:rsidP="00C24728">
      <w:pPr>
        <w:pStyle w:val="NoSpacing"/>
        <w:spacing w:line="480" w:lineRule="auto"/>
        <w:ind w:left="720" w:hanging="720"/>
        <w:rPr>
          <w:rFonts w:cs="Times New Roman"/>
        </w:rPr>
      </w:pPr>
      <w:proofErr w:type="spellStart"/>
      <w:proofErr w:type="gramStart"/>
      <w:r>
        <w:rPr>
          <w:rFonts w:cs="Times New Roman"/>
        </w:rPr>
        <w:t>Benefield</w:t>
      </w:r>
      <w:proofErr w:type="spellEnd"/>
      <w:r>
        <w:rPr>
          <w:rFonts w:cs="Times New Roman"/>
        </w:rPr>
        <w:t>,</w:t>
      </w:r>
      <w:r w:rsidR="00C24728">
        <w:rPr>
          <w:rFonts w:cs="Times New Roman"/>
        </w:rPr>
        <w:t xml:space="preserve"> L. E., &amp; </w:t>
      </w:r>
      <w:proofErr w:type="spellStart"/>
      <w:r w:rsidR="00C24728">
        <w:rPr>
          <w:rFonts w:cs="Times New Roman"/>
        </w:rPr>
        <w:t>Higbee</w:t>
      </w:r>
      <w:proofErr w:type="spellEnd"/>
      <w:r w:rsidR="00C24728">
        <w:rPr>
          <w:rFonts w:cs="Times New Roman"/>
        </w:rPr>
        <w:t>, R. L. (2007).</w:t>
      </w:r>
      <w:proofErr w:type="gramEnd"/>
      <w:r w:rsidR="00C24728">
        <w:rPr>
          <w:rFonts w:cs="Times New Roman"/>
        </w:rPr>
        <w:t xml:space="preserve"> </w:t>
      </w:r>
      <w:proofErr w:type="gramStart"/>
      <w:r w:rsidR="00C24728">
        <w:rPr>
          <w:rFonts w:cs="Times New Roman"/>
          <w:i/>
        </w:rPr>
        <w:t>Frailty and its implication for care</w:t>
      </w:r>
      <w:r w:rsidR="00C24728">
        <w:rPr>
          <w:rFonts w:cs="Times New Roman"/>
        </w:rPr>
        <w:t>.</w:t>
      </w:r>
      <w:proofErr w:type="gramEnd"/>
      <w:r w:rsidR="00C24728">
        <w:rPr>
          <w:rFonts w:cs="Times New Roman"/>
        </w:rPr>
        <w:t xml:space="preserve"> </w:t>
      </w:r>
      <w:proofErr w:type="gramStart"/>
      <w:r w:rsidR="00C24728">
        <w:rPr>
          <w:rFonts w:cs="Times New Roman"/>
        </w:rPr>
        <w:t>Hartford Institute for Geriatric Nursing.</w:t>
      </w:r>
      <w:proofErr w:type="gramEnd"/>
      <w:r w:rsidR="00C24728">
        <w:rPr>
          <w:rFonts w:cs="Times New Roman"/>
        </w:rPr>
        <w:t xml:space="preserve"> Retrieved from http://</w:t>
      </w:r>
      <w:r w:rsidR="00C24728" w:rsidRPr="00C24728">
        <w:rPr>
          <w:rFonts w:cs="Times New Roman"/>
        </w:rPr>
        <w:t>consultgerirn.org/topics/frailty_and_its_</w:t>
      </w:r>
      <w:r w:rsidR="00C24728">
        <w:rPr>
          <w:rFonts w:cs="Times New Roman"/>
        </w:rPr>
        <w:t xml:space="preserve"> </w:t>
      </w:r>
      <w:proofErr w:type="spellStart"/>
      <w:r w:rsidR="00C24728" w:rsidRPr="00C24728">
        <w:rPr>
          <w:rFonts w:cs="Times New Roman"/>
        </w:rPr>
        <w:t>implications_for_care_new</w:t>
      </w:r>
      <w:proofErr w:type="spellEnd"/>
      <w:r w:rsidR="00C24728" w:rsidRPr="00C24728">
        <w:rPr>
          <w:rFonts w:cs="Times New Roman"/>
        </w:rPr>
        <w:t>/</w:t>
      </w:r>
      <w:proofErr w:type="spellStart"/>
      <w:r w:rsidR="00C24728" w:rsidRPr="00C24728">
        <w:rPr>
          <w:rFonts w:cs="Times New Roman"/>
        </w:rPr>
        <w:t>want_to_know_more</w:t>
      </w:r>
      <w:proofErr w:type="spellEnd"/>
    </w:p>
    <w:p w:rsidR="00C24728" w:rsidRDefault="00C24728" w:rsidP="00C24728">
      <w:pPr>
        <w:pStyle w:val="NoSpacing"/>
        <w:spacing w:line="480" w:lineRule="auto"/>
        <w:ind w:left="720" w:hanging="720"/>
        <w:rPr>
          <w:rFonts w:cs="Times New Roman"/>
        </w:rPr>
      </w:pPr>
      <w:proofErr w:type="spellStart"/>
      <w:proofErr w:type="gramStart"/>
      <w:r>
        <w:rPr>
          <w:rFonts w:cs="Times New Roman"/>
        </w:rPr>
        <w:t>Cheniak</w:t>
      </w:r>
      <w:proofErr w:type="spellEnd"/>
      <w:r>
        <w:rPr>
          <w:rFonts w:cs="Times New Roman"/>
        </w:rPr>
        <w:t xml:space="preserve">, E.P., </w:t>
      </w:r>
      <w:proofErr w:type="spellStart"/>
      <w:r>
        <w:rPr>
          <w:rFonts w:cs="Times New Roman"/>
        </w:rPr>
        <w:t>Forez</w:t>
      </w:r>
      <w:proofErr w:type="spellEnd"/>
      <w:r>
        <w:rPr>
          <w:rFonts w:cs="Times New Roman"/>
        </w:rPr>
        <w:t xml:space="preserve">, H. J., &amp; </w:t>
      </w:r>
      <w:proofErr w:type="spellStart"/>
      <w:r>
        <w:rPr>
          <w:rFonts w:cs="Times New Roman"/>
        </w:rPr>
        <w:t>Troen</w:t>
      </w:r>
      <w:proofErr w:type="spellEnd"/>
      <w:r>
        <w:rPr>
          <w:rFonts w:cs="Times New Roman"/>
        </w:rPr>
        <w:t>, B. R. (2007).</w:t>
      </w:r>
      <w:proofErr w:type="gramEnd"/>
      <w:r>
        <w:rPr>
          <w:rFonts w:cs="Times New Roman"/>
        </w:rPr>
        <w:t xml:space="preserve"> </w:t>
      </w:r>
      <w:proofErr w:type="gramStart"/>
      <w:r>
        <w:rPr>
          <w:rFonts w:cs="Times New Roman"/>
        </w:rPr>
        <w:t>Emerging therapies to treat frailty syndrome in the elderly.</w:t>
      </w:r>
      <w:proofErr w:type="gramEnd"/>
      <w:r>
        <w:rPr>
          <w:rFonts w:cs="Times New Roman"/>
        </w:rPr>
        <w:t xml:space="preserve"> </w:t>
      </w:r>
      <w:proofErr w:type="gramStart"/>
      <w:r>
        <w:rPr>
          <w:rFonts w:cs="Times New Roman"/>
          <w:i/>
        </w:rPr>
        <w:t>Alternative Medicine Review</w:t>
      </w:r>
      <w:r>
        <w:rPr>
          <w:rFonts w:cs="Times New Roman"/>
        </w:rPr>
        <w:t>.</w:t>
      </w:r>
      <w:proofErr w:type="gramEnd"/>
      <w:r>
        <w:rPr>
          <w:rFonts w:cs="Times New Roman"/>
        </w:rPr>
        <w:t xml:space="preserve"> Retrieved from </w:t>
      </w:r>
      <w:r w:rsidRPr="00C24728">
        <w:rPr>
          <w:rFonts w:cs="Times New Roman"/>
        </w:rPr>
        <w:t>http://findarticles.com/p/</w:t>
      </w:r>
      <w:r>
        <w:rPr>
          <w:rFonts w:cs="Times New Roman"/>
        </w:rPr>
        <w:t xml:space="preserve"> </w:t>
      </w:r>
      <w:r w:rsidRPr="00C24728">
        <w:rPr>
          <w:rFonts w:cs="Times New Roman"/>
        </w:rPr>
        <w:t>articles/mi_m0FDN/is_3_12/ai_n27421818/pg_5/</w:t>
      </w:r>
      <w:proofErr w:type="gramStart"/>
      <w:r w:rsidRPr="00C24728">
        <w:rPr>
          <w:rFonts w:cs="Times New Roman"/>
        </w:rPr>
        <w:t>?tag</w:t>
      </w:r>
      <w:proofErr w:type="gramEnd"/>
      <w:r w:rsidRPr="00C24728">
        <w:rPr>
          <w:rFonts w:cs="Times New Roman"/>
        </w:rPr>
        <w:t>=content;col1</w:t>
      </w:r>
    </w:p>
    <w:p w:rsidR="00C24728" w:rsidRPr="006837AC" w:rsidRDefault="006837AC" w:rsidP="00C24728">
      <w:pPr>
        <w:pStyle w:val="NoSpacing"/>
        <w:spacing w:line="480" w:lineRule="auto"/>
        <w:ind w:left="720" w:hanging="720"/>
        <w:rPr>
          <w:rFonts w:cs="Times New Roman"/>
        </w:rPr>
      </w:pPr>
      <w:proofErr w:type="gramStart"/>
      <w:r>
        <w:rPr>
          <w:rFonts w:cs="Times New Roman"/>
        </w:rPr>
        <w:t>Espinoza, S. E., &amp; Fried, L. P. (2007).</w:t>
      </w:r>
      <w:proofErr w:type="gramEnd"/>
      <w:r>
        <w:rPr>
          <w:rFonts w:cs="Times New Roman"/>
        </w:rPr>
        <w:t xml:space="preserve"> </w:t>
      </w:r>
      <w:proofErr w:type="gramStart"/>
      <w:r>
        <w:rPr>
          <w:rFonts w:cs="Times New Roman"/>
          <w:i/>
        </w:rPr>
        <w:t>Risk factors for frailty in the older adult</w:t>
      </w:r>
      <w:r>
        <w:rPr>
          <w:rFonts w:cs="Times New Roman"/>
        </w:rPr>
        <w:t>.</w:t>
      </w:r>
      <w:proofErr w:type="gramEnd"/>
      <w:r>
        <w:rPr>
          <w:rFonts w:cs="Times New Roman"/>
        </w:rPr>
        <w:t xml:space="preserve"> </w:t>
      </w:r>
      <w:proofErr w:type="gramStart"/>
      <w:r>
        <w:rPr>
          <w:rFonts w:cs="Times New Roman"/>
        </w:rPr>
        <w:t>John Hopkins Medicine.</w:t>
      </w:r>
      <w:proofErr w:type="gramEnd"/>
      <w:r>
        <w:rPr>
          <w:rFonts w:cs="Times New Roman"/>
        </w:rPr>
        <w:t xml:space="preserve"> Retrieved from </w:t>
      </w:r>
      <w:r w:rsidRPr="006837AC">
        <w:rPr>
          <w:rFonts w:cs="Times New Roman"/>
        </w:rPr>
        <w:t>http://www.imsersomayores.csic.es/documentos/boletin/</w:t>
      </w:r>
      <w:r>
        <w:rPr>
          <w:rFonts w:cs="Times New Roman"/>
        </w:rPr>
        <w:t xml:space="preserve"> </w:t>
      </w:r>
      <w:r w:rsidRPr="006837AC">
        <w:rPr>
          <w:rFonts w:cs="Times New Roman"/>
        </w:rPr>
        <w:t>2007/numero-52/art-07-07-01.pdf</w:t>
      </w:r>
    </w:p>
    <w:sectPr w:rsidR="00C24728" w:rsidRPr="006837AC" w:rsidSect="00F4327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01T14:32:00Z" w:initials="M">
    <w:p w:rsidR="000C1517" w:rsidRDefault="000C1517">
      <w:pPr>
        <w:pStyle w:val="CommentText"/>
      </w:pPr>
      <w:r>
        <w:rPr>
          <w:rStyle w:val="CommentReference"/>
        </w:rPr>
        <w:annotationRef/>
      </w:r>
      <w:r>
        <w:t>Please put these responses in numeric format so I know where I am.</w:t>
      </w:r>
    </w:p>
  </w:comment>
  <w:comment w:id="1" w:author="Mary" w:date="2012-03-01T14:31:00Z" w:initials="M">
    <w:p w:rsidR="000C1517" w:rsidRDefault="000C1517">
      <w:pPr>
        <w:pStyle w:val="CommentText"/>
      </w:pPr>
      <w:r>
        <w:rPr>
          <w:rStyle w:val="CommentReference"/>
        </w:rPr>
        <w:annotationRef/>
      </w:r>
      <w:r>
        <w:t xml:space="preserve">When you use and in text it is this way if it is in </w:t>
      </w:r>
      <w:proofErr w:type="spellStart"/>
      <w:r>
        <w:t>cite</w:t>
      </w:r>
      <w:proofErr w:type="spellEnd"/>
      <w:r>
        <w:t xml:space="preserve"> or ref </w:t>
      </w:r>
      <w:proofErr w:type="gramStart"/>
      <w:r>
        <w:t>it  is</w:t>
      </w:r>
      <w:proofErr w:type="gramEnd"/>
      <w:r>
        <w:t xml:space="preserve"> &amp;</w:t>
      </w:r>
    </w:p>
  </w:comment>
  <w:comment w:id="2" w:author="Mary" w:date="2012-03-01T14:35:00Z" w:initials="M">
    <w:p w:rsidR="000C1517" w:rsidRDefault="000C1517">
      <w:pPr>
        <w:pStyle w:val="CommentText"/>
      </w:pPr>
      <w:r>
        <w:rPr>
          <w:rStyle w:val="CommentReference"/>
        </w:rPr>
        <w:annotationRef/>
      </w:r>
      <w:r>
        <w:t>Need page numbers with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1C2" w:rsidRDefault="000141C2" w:rsidP="00F4327A">
      <w:pPr>
        <w:spacing w:after="0" w:line="240" w:lineRule="auto"/>
      </w:pPr>
      <w:r>
        <w:separator/>
      </w:r>
    </w:p>
  </w:endnote>
  <w:endnote w:type="continuationSeparator" w:id="0">
    <w:p w:rsidR="000141C2" w:rsidRDefault="000141C2" w:rsidP="00F43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1C2" w:rsidRDefault="000141C2" w:rsidP="00F4327A">
      <w:pPr>
        <w:spacing w:after="0" w:line="240" w:lineRule="auto"/>
      </w:pPr>
      <w:r>
        <w:separator/>
      </w:r>
    </w:p>
  </w:footnote>
  <w:footnote w:type="continuationSeparator" w:id="0">
    <w:p w:rsidR="000141C2" w:rsidRDefault="000141C2" w:rsidP="00F432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51923"/>
      <w:docPartObj>
        <w:docPartGallery w:val="Page Numbers (Top of Page)"/>
        <w:docPartUnique/>
      </w:docPartObj>
    </w:sdtPr>
    <w:sdtContent>
      <w:p w:rsidR="007D281D" w:rsidRDefault="007D281D">
        <w:pPr>
          <w:pStyle w:val="Header"/>
          <w:jc w:val="right"/>
        </w:pPr>
        <w:r>
          <w:t>CASE STUDY 5.2</w:t>
        </w:r>
        <w:r>
          <w:tab/>
        </w:r>
        <w:r>
          <w:tab/>
        </w:r>
        <w:fldSimple w:instr=" PAGE   \* MERGEFORMAT ">
          <w:r w:rsidR="000C1517">
            <w:rPr>
              <w:noProof/>
            </w:rPr>
            <w:t>2</w:t>
          </w:r>
        </w:fldSimple>
      </w:p>
    </w:sdtContent>
  </w:sdt>
  <w:p w:rsidR="007D281D" w:rsidRDefault="007D28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81D" w:rsidRDefault="007D281D" w:rsidP="00F4327A">
    <w:pPr>
      <w:pStyle w:val="Header"/>
      <w:jc w:val="right"/>
    </w:pPr>
    <w:r>
      <w:t>Running head: CASE STUDY 5.2</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4327A"/>
    <w:rsid w:val="000141C2"/>
    <w:rsid w:val="000C1517"/>
    <w:rsid w:val="001720C3"/>
    <w:rsid w:val="001E5E6B"/>
    <w:rsid w:val="002F54BE"/>
    <w:rsid w:val="004236F8"/>
    <w:rsid w:val="004F6271"/>
    <w:rsid w:val="00502639"/>
    <w:rsid w:val="005F4534"/>
    <w:rsid w:val="006837AC"/>
    <w:rsid w:val="007B2FF6"/>
    <w:rsid w:val="007D281D"/>
    <w:rsid w:val="007F02B7"/>
    <w:rsid w:val="00994B14"/>
    <w:rsid w:val="009B6A18"/>
    <w:rsid w:val="00A5245B"/>
    <w:rsid w:val="00C24728"/>
    <w:rsid w:val="00D275AB"/>
    <w:rsid w:val="00E91AA6"/>
    <w:rsid w:val="00F43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27A"/>
    <w:pPr>
      <w:spacing w:after="0" w:line="240" w:lineRule="auto"/>
    </w:pPr>
  </w:style>
  <w:style w:type="paragraph" w:styleId="Header">
    <w:name w:val="header"/>
    <w:basedOn w:val="Normal"/>
    <w:link w:val="HeaderChar"/>
    <w:uiPriority w:val="99"/>
    <w:unhideWhenUsed/>
    <w:rsid w:val="00F4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27A"/>
  </w:style>
  <w:style w:type="paragraph" w:styleId="Footer">
    <w:name w:val="footer"/>
    <w:basedOn w:val="Normal"/>
    <w:link w:val="FooterChar"/>
    <w:uiPriority w:val="99"/>
    <w:semiHidden/>
    <w:unhideWhenUsed/>
    <w:rsid w:val="00F432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327A"/>
  </w:style>
  <w:style w:type="character" w:styleId="Hyperlink">
    <w:name w:val="Hyperlink"/>
    <w:basedOn w:val="DefaultParagraphFont"/>
    <w:uiPriority w:val="99"/>
    <w:unhideWhenUsed/>
    <w:rsid w:val="00C24728"/>
    <w:rPr>
      <w:color w:val="0000FF" w:themeColor="hyperlink"/>
      <w:u w:val="single"/>
    </w:rPr>
  </w:style>
  <w:style w:type="character" w:styleId="CommentReference">
    <w:name w:val="annotation reference"/>
    <w:basedOn w:val="DefaultParagraphFont"/>
    <w:uiPriority w:val="99"/>
    <w:semiHidden/>
    <w:unhideWhenUsed/>
    <w:rsid w:val="000C1517"/>
    <w:rPr>
      <w:sz w:val="16"/>
      <w:szCs w:val="16"/>
    </w:rPr>
  </w:style>
  <w:style w:type="paragraph" w:styleId="CommentText">
    <w:name w:val="annotation text"/>
    <w:basedOn w:val="Normal"/>
    <w:link w:val="CommentTextChar"/>
    <w:uiPriority w:val="99"/>
    <w:semiHidden/>
    <w:unhideWhenUsed/>
    <w:rsid w:val="000C1517"/>
    <w:pPr>
      <w:spacing w:line="240" w:lineRule="auto"/>
    </w:pPr>
    <w:rPr>
      <w:sz w:val="20"/>
      <w:szCs w:val="20"/>
    </w:rPr>
  </w:style>
  <w:style w:type="character" w:customStyle="1" w:styleId="CommentTextChar">
    <w:name w:val="Comment Text Char"/>
    <w:basedOn w:val="DefaultParagraphFont"/>
    <w:link w:val="CommentText"/>
    <w:uiPriority w:val="99"/>
    <w:semiHidden/>
    <w:rsid w:val="000C1517"/>
    <w:rPr>
      <w:sz w:val="20"/>
      <w:szCs w:val="20"/>
    </w:rPr>
  </w:style>
  <w:style w:type="paragraph" w:styleId="CommentSubject">
    <w:name w:val="annotation subject"/>
    <w:basedOn w:val="CommentText"/>
    <w:next w:val="CommentText"/>
    <w:link w:val="CommentSubjectChar"/>
    <w:uiPriority w:val="99"/>
    <w:semiHidden/>
    <w:unhideWhenUsed/>
    <w:rsid w:val="000C1517"/>
    <w:rPr>
      <w:b/>
      <w:bCs/>
    </w:rPr>
  </w:style>
  <w:style w:type="character" w:customStyle="1" w:styleId="CommentSubjectChar">
    <w:name w:val="Comment Subject Char"/>
    <w:basedOn w:val="CommentTextChar"/>
    <w:link w:val="CommentSubject"/>
    <w:uiPriority w:val="99"/>
    <w:semiHidden/>
    <w:rsid w:val="000C1517"/>
    <w:rPr>
      <w:b/>
      <w:bCs/>
    </w:rPr>
  </w:style>
  <w:style w:type="paragraph" w:styleId="BalloonText">
    <w:name w:val="Balloon Text"/>
    <w:basedOn w:val="Normal"/>
    <w:link w:val="BalloonTextChar"/>
    <w:uiPriority w:val="99"/>
    <w:semiHidden/>
    <w:unhideWhenUsed/>
    <w:rsid w:val="000C1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1118C-4305-4AEB-8652-83E0EE90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494</Words>
  <Characters>2817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2012-03-01T20:37:00Z</dcterms:created>
  <dcterms:modified xsi:type="dcterms:W3CDTF">2012-03-01T20:37:00Z</dcterms:modified>
</cp:coreProperties>
</file>