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C50832">
        <w:tc>
          <w:tcPr>
            <w:tcW w:w="4428" w:type="dxa"/>
          </w:tcPr>
          <w:p w:rsidR="00C50832" w:rsidRDefault="00C50832">
            <w:r>
              <w:t>Power Point</w:t>
            </w:r>
          </w:p>
        </w:tc>
        <w:tc>
          <w:tcPr>
            <w:tcW w:w="4428" w:type="dxa"/>
          </w:tcPr>
          <w:p w:rsidR="00C50832" w:rsidRDefault="00C50832">
            <w:r>
              <w:t>Notes Section</w:t>
            </w:r>
          </w:p>
        </w:tc>
      </w:tr>
      <w:tr w:rsidR="00C50832">
        <w:tc>
          <w:tcPr>
            <w:tcW w:w="4428" w:type="dxa"/>
          </w:tcPr>
          <w:p w:rsidR="00C50832" w:rsidRDefault="00C50832">
            <w:r>
              <w:t>Title: Secondary Sources Used in Ferrell (2006)</w:t>
            </w:r>
          </w:p>
          <w:p w:rsidR="00C50832" w:rsidRDefault="00C50832">
            <w:r>
              <w:t>-Daley (1994) – Futile behavior</w:t>
            </w:r>
          </w:p>
          <w:p w:rsidR="00C50832" w:rsidRDefault="00C50832">
            <w:r>
              <w:t>-Ahrens, Yancey, and Kollef (2003)- Legality of futile care</w:t>
            </w:r>
          </w:p>
          <w:p w:rsidR="00C50832" w:rsidRDefault="00C50832">
            <w:r>
              <w:t>- Farley (1990), (2002) – Morality and Compassion of care</w:t>
            </w:r>
          </w:p>
        </w:tc>
        <w:tc>
          <w:tcPr>
            <w:tcW w:w="4428" w:type="dxa"/>
          </w:tcPr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Daley(1994)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uses as a source of quotations when explanning the her opinion on futile behavior being observed by health professions (p. 922)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patient and family communication was also discussed by Daley(1994) in Ferrell (2006) (p.923)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Ahrens, Yancey, and Kollef (2003)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Legality of discontinuation of futile treatment such as mechanical ventelation (p. 923)</w:t>
            </w:r>
          </w:p>
          <w:p w:rsidR="00C50832" w:rsidRDefault="00C50832" w:rsidP="001E502F">
            <w:r>
              <w:t xml:space="preserve">       -Farley (1990), (2002)</w:t>
            </w:r>
          </w:p>
          <w:p w:rsidR="00C50832" w:rsidRDefault="00C50832" w:rsidP="001E502F">
            <w:r>
              <w:t xml:space="preserve">       -Farley speaks of the morality of care when it comes to futile care (p. 925)</w:t>
            </w:r>
          </w:p>
          <w:p w:rsidR="00C50832" w:rsidRDefault="00C50832" w:rsidP="001E502F">
            <w:r>
              <w:t xml:space="preserve">       - Compassion becomes a type empowerment when it comes to working with the human race. (p. 925)</w:t>
            </w:r>
          </w:p>
          <w:p w:rsidR="00C50832" w:rsidRDefault="00C50832" w:rsidP="001E502F"/>
          <w:p w:rsidR="00C50832" w:rsidRDefault="00C50832" w:rsidP="001E502F"/>
        </w:tc>
      </w:tr>
      <w:tr w:rsidR="00C50832">
        <w:tc>
          <w:tcPr>
            <w:tcW w:w="4428" w:type="dxa"/>
          </w:tcPr>
          <w:p w:rsidR="00C50832" w:rsidRDefault="00C50832">
            <w:r>
              <w:t>Title: Secondary sources used in Windel et al (2006)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Kleiber et al- A comparitive study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Soysal et al  &amp; Goodenough et al – Statistical information</w:t>
            </w:r>
          </w:p>
          <w:p w:rsidR="00C50832" w:rsidRDefault="00C50832"/>
          <w:p w:rsidR="00C50832" w:rsidRDefault="00C50832"/>
        </w:tc>
        <w:tc>
          <w:tcPr>
            <w:tcW w:w="4428" w:type="dxa"/>
          </w:tcPr>
          <w:p w:rsidR="00C50832" w:rsidRDefault="00C50832">
            <w:r>
              <w:t xml:space="preserve">Kleiber et al </w:t>
            </w:r>
          </w:p>
          <w:p w:rsidR="00C50832" w:rsidRDefault="00C50832">
            <w:r>
              <w:t xml:space="preserve">-performed a comparitive study between  EMLA and ELA-Max, they reported no significant difference in pain ratings </w:t>
            </w:r>
          </w:p>
          <w:p w:rsidR="00C50832" w:rsidRDefault="00C50832">
            <w:r>
              <w:t xml:space="preserve">- Soysal et al &amp; Goodenough et al </w:t>
            </w:r>
          </w:p>
          <w:p w:rsidR="00C50832" w:rsidRDefault="00C50832">
            <w:r>
              <w:t>- Windle et al (2006) wa provided with statistical information from their previous research</w:t>
            </w:r>
          </w:p>
          <w:p w:rsidR="00C50832" w:rsidRPr="001E502F" w:rsidRDefault="00C50832" w:rsidP="001E502F">
            <w:r>
              <w:t xml:space="preserve">- </w:t>
            </w:r>
            <w:r w:rsidRPr="001E502F">
              <w:t xml:space="preserve">About 20% of adults had mild to in- </w:t>
            </w:r>
          </w:p>
          <w:p w:rsidR="00C50832" w:rsidRPr="001E502F" w:rsidRDefault="00C50832" w:rsidP="001E502F">
            <w:r w:rsidRPr="001E502F">
              <w:t xml:space="preserve">tense fear when confronted with injections.(p.252) </w:t>
            </w:r>
          </w:p>
          <w:p w:rsidR="00C50832" w:rsidRPr="001E502F" w:rsidRDefault="00C50832" w:rsidP="001E502F">
            <w:r w:rsidRPr="001E502F">
              <w:t xml:space="preserve">-Approximately 10% of adults have such a pro- found fear of needles that they have clinical signs and symptoms of “needle phobia,” which may include immediate anxiety and a vasovagal response that can lead to bradycardia and hypo- </w:t>
            </w:r>
          </w:p>
          <w:p w:rsidR="00C50832" w:rsidRPr="001E502F" w:rsidRDefault="00C50832" w:rsidP="001E502F">
            <w:r w:rsidRPr="001E502F">
              <w:t>tension (p.252)</w:t>
            </w:r>
          </w:p>
          <w:p w:rsidR="00C50832" w:rsidRDefault="00C50832"/>
          <w:p w:rsidR="00C50832" w:rsidRDefault="00C50832"/>
        </w:tc>
      </w:tr>
      <w:tr w:rsidR="00C50832">
        <w:tc>
          <w:tcPr>
            <w:tcW w:w="4428" w:type="dxa"/>
          </w:tcPr>
          <w:p w:rsidR="00C50832" w:rsidRDefault="00C50832">
            <w:r>
              <w:t>Title: Ferrell Relevance to nursing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 xml:space="preserve">Understanding the moral distress 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Theological issues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 xml:space="preserve">Overall compassion </w:t>
            </w:r>
          </w:p>
          <w:p w:rsidR="00C50832" w:rsidRDefault="00C50832"/>
          <w:p w:rsidR="00C50832" w:rsidRDefault="00C50832"/>
          <w:p w:rsidR="00C50832" w:rsidRDefault="00C50832"/>
        </w:tc>
        <w:tc>
          <w:tcPr>
            <w:tcW w:w="4428" w:type="dxa"/>
          </w:tcPr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 xml:space="preserve">nurses witnessing futile care withing their job has an impact on the care they give 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 xml:space="preserve">Nurses begin to turn to their theology of choice in order to gain (p.924)  answers and cope with the things that they have seen 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 xml:space="preserve">Nurses become more compassionate when having to deal with futile care and realizing what is wrong and right. </w:t>
            </w:r>
          </w:p>
        </w:tc>
      </w:tr>
      <w:tr w:rsidR="00C50832">
        <w:tc>
          <w:tcPr>
            <w:tcW w:w="4428" w:type="dxa"/>
          </w:tcPr>
          <w:p w:rsidR="00C50832" w:rsidRDefault="00C50832">
            <w:r>
              <w:t>Title: Windle et al Relevance to Nursing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Becoming aware of evedance based practice</w:t>
            </w:r>
          </w:p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 xml:space="preserve">Future I.V cannula insertion </w:t>
            </w:r>
          </w:p>
          <w:p w:rsidR="00C50832" w:rsidRDefault="00C50832"/>
        </w:tc>
        <w:tc>
          <w:tcPr>
            <w:tcW w:w="4428" w:type="dxa"/>
          </w:tcPr>
          <w:p w:rsidR="00C50832" w:rsidRDefault="00C50832" w:rsidP="001E502F">
            <w:pPr>
              <w:numPr>
                <w:ilvl w:val="0"/>
                <w:numId w:val="2"/>
              </w:numPr>
            </w:pPr>
            <w:r>
              <w:t>It was found that patients who receive an intradermal injection before IV cannulation reported less pain than those who did not (p. 257)</w:t>
            </w:r>
          </w:p>
        </w:tc>
      </w:tr>
    </w:tbl>
    <w:p w:rsidR="00C50832" w:rsidRDefault="00C50832"/>
    <w:p w:rsidR="00C50832" w:rsidRDefault="00C50832"/>
    <w:p w:rsidR="00C50832" w:rsidRPr="00E7023C" w:rsidRDefault="00C50832" w:rsidP="001E502F">
      <w:pPr>
        <w:pStyle w:val="ListParagraph"/>
        <w:spacing w:after="0" w:line="280" w:lineRule="exact"/>
        <w:ind w:left="360"/>
        <w:rPr>
          <w:sz w:val="24"/>
        </w:rPr>
      </w:pPr>
      <w:r w:rsidRPr="00CE4A4E">
        <w:rPr>
          <w:sz w:val="24"/>
        </w:rPr>
        <w:t>7.Discuss what information each of the articles’ authors used from secondary sources. Include in your discussion whether the secondary sources were current and relevant</w:t>
      </w:r>
      <w:r>
        <w:rPr>
          <w:sz w:val="24"/>
        </w:rPr>
        <w:t>.</w:t>
      </w:r>
      <w:r w:rsidRPr="00CE4A4E">
        <w:rPr>
          <w:sz w:val="24"/>
        </w:rPr>
        <w:t xml:space="preserve"> </w:t>
      </w:r>
      <w:r w:rsidRPr="00CE4A4E">
        <w:rPr>
          <w:sz w:val="24"/>
          <w:highlight w:val="green"/>
        </w:rPr>
        <w:t>*</w:t>
      </w:r>
      <w:r w:rsidRPr="00CE4A4E">
        <w:rPr>
          <w:sz w:val="24"/>
        </w:rPr>
        <w:t xml:space="preserve"> </w:t>
      </w:r>
    </w:p>
    <w:p w:rsidR="00C50832" w:rsidRDefault="00C50832" w:rsidP="001E502F">
      <w:pPr>
        <w:pStyle w:val="ListParagraph"/>
        <w:spacing w:after="0" w:line="280" w:lineRule="exact"/>
        <w:ind w:left="0"/>
        <w:rPr>
          <w:sz w:val="24"/>
        </w:rPr>
      </w:pPr>
      <w:r w:rsidRPr="00CE4A4E">
        <w:rPr>
          <w:sz w:val="24"/>
        </w:rPr>
        <w:t xml:space="preserve">     8.Discuss the relevance of each research article to nursing practice. </w:t>
      </w:r>
    </w:p>
    <w:p w:rsidR="00C50832" w:rsidRDefault="00C50832"/>
    <w:sectPr w:rsidR="00C50832" w:rsidSect="001E50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‚l‚r ƒSƒVƒbƒN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903059D"/>
    <w:multiLevelType w:val="multilevel"/>
    <w:tmpl w:val="3A9A7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E708F"/>
    <w:multiLevelType w:val="hybridMultilevel"/>
    <w:tmpl w:val="C2861E00"/>
    <w:lvl w:ilvl="0" w:tplc="16807FF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7839A9"/>
    <w:rsid w:val="001E502F"/>
    <w:rsid w:val="00C50832"/>
    <w:rsid w:val="00CE4A4E"/>
    <w:rsid w:val="00E7023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99"/>
    <w:rsid w:val="001E5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E502F"/>
    <w:pPr>
      <w:spacing w:after="200" w:line="276" w:lineRule="auto"/>
      <w:ind w:left="720"/>
      <w:contextualSpacing/>
    </w:pPr>
    <w:rPr>
      <w:rFonts w:ascii="Calibri" w:eastAsia="ＭＳ 明朝" w:hAnsi="Calibri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1481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Point</dc:title>
  <dc:subject/>
  <dc:creator>Katherine Korzun</dc:creator>
  <cp:keywords/>
  <cp:lastModifiedBy>Katherine Korzun</cp:lastModifiedBy>
  <cp:revision>1</cp:revision>
  <dcterms:created xsi:type="dcterms:W3CDTF">2011-06-02T17:15:00Z</dcterms:created>
  <dcterms:modified xsi:type="dcterms:W3CDTF">2011-06-06T02:31:00Z</dcterms:modified>
</cp:coreProperties>
</file>